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1092</w:t>
      </w:r>
    </w:p>
    <w:p>
      <w:r>
        <w:rPr>
          <w:b/>
        </w:rPr>
        <w:t xml:space="preserve">Datum: </w:t>
      </w:r>
      <w:r>
        <w:t>1908-05-22</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Emil Hammarlund (–, man)</w:t>
      </w:r>
    </w:p>
    <w:p>
      <w:r>
        <w:rPr>
          <w:b w:val="0"/>
        </w:rPr>
        <w:t>Det anfördes nyss från statsrådsbänken, att Riksdagen vid alla föregående tillfällen har bifallit pensioner af liknande slag, och att man därför borde göra så äfven nu.</w:t>
        <w:br/>
        <w:br/>
        <w:t>Jag tror då, att det är i sin ordning, att det till kammarens protokoll anföres, huru det i verkligheten förhåller sig med dessa, så kallade prejudikat.</w:t>
        <w:br/>
        <w:br/>
        <w:t>Åtminstone vid de två senaste tillfällen, då dylika frågor hafva förekommit här, har denna kammare varit mycket angelägen att säga ifrån, att det icke har varit på grund af gammal häfd, som man kunnat vara med om något dylikt, utan att det berott på alldeles särskilda omständigheter, som enligt min mening icke nu föreligga.</w:t>
        <w:br/>
        <w:br/>
        <w:t>Vid 1873 års riksdag förelåg förslag om beviljande af 39,750 kronor till pensioner för personer, som varit anställda i framlidne Konung Karl XV:s och Drottning Lovisas tjänst. Statsutskottet tillstyrkte detta af två skäl. Det första var det, att den aflidne konungens efterträdare icke var tillika dess arftagare, utan att pensioneringen skulle drabba en främmande furste och dess gemål. Det andra och viktigaste skälet var, att genom Karl XV:s testamente värdefulla konstsamlingar blifvit skänkta till svenska staten; det vore då en oeftergiflig plikt för svenska staten att som en ringa gärd af tacksamhet för den storartade gåfvan öfvertaga ifrågavarande pensionering.</w:t>
        <w:br/>
        <w:br/>
        <w:t>Då frågan förekom här i Andra Kammaren, yrkades afslag af herrar Hedin, A. P. Danielson och Jöns Pehrsson. Utskottets tillstyrkande försvarades af statsutskottets ordförande, grefve Posse, som framhöll, att den framlidne konungen till svenska staten testamenterat mer än hvad han enligt svensk lag kunnat bortgifva, att om svenska staten ville behålla fördelen af det testamente, som till densamma blifvit gjordt, så borde staten anses förpliktad att utbetala ifrågavarande pensioner. »&gt;Det är»,</w:t>
        <w:br/>
        <w:br/>
        <w:t>slutade talaren, »&gt;»från rent affärsmässig och rättslig synpunkt, som utskottet betraktat frågan.»</w:t>
        <w:br/>
        <w:br/>
        <w:t>Så var förhållandet år 1873.</w:t>
        <w:br/>
        <w:br/>
        <w:t>Låtom oss nu gå till 1877, då en liknande fråga förekom.</w:t>
        <w:br/>
        <w:br/>
        <w:t xml:space="preserve">Det gällde då 9,302 kronor till pensioner åt vissa till framlidna </w:t>
      </w:r>
      <w:r>
        <w:rPr>
          <w:b/>
        </w:rPr>
        <w:t>änkedrottning²</w:t>
      </w:r>
      <w:r>
        <w:rPr>
          <w:b w:val="0"/>
        </w:rPr>
        <w:t xml:space="preserve"> Josefines hofstat hörande personer af lägre tjänstegrad. Statsutskottet anförde då äfvenledes två skäl för bifall. Det första det, att staten alltid förut i liknande fall beviljat dylik pension. Det andra skälet var den storartade välgörenhet, </w:t>
      </w:r>
      <w:r>
        <w:rPr>
          <w:b/>
        </w:rPr>
        <w:t>Hennes²</w:t>
      </w:r>
      <w:r>
        <w:rPr>
          <w:b w:val="0"/>
        </w:rPr>
        <w:t xml:space="preserve"> Maj:t Ankedrottning Josefine städse utöfvat, och hvaraf frukterna på mångahanda sätt kommit landet till godo. Mot statsutskottets hemställan hade afgifvits 8 reservationer från Andra Kammaren. När frågan förekom i Andra Kammaren uppstod en stunds diskussion. Det fanns här i denna kammare då en man, som hette Erik Gustaf Boström till Östanå — han blef sedermera statsminister i Sveriges rike. Han yrkade rent afslag af det skäl, att här ej samma måttstock blifvit använd, efter hvilken de pensioner i allmänhet tillmätas, hvilka beviljas statens egna tjänare. Här hade en annan princip blifvit följd. Det var hans skäl för afslag. Och det skälet gäller för öfrigt ännu i dag beträffande det nu föreliggande förslaget. Det är icke samma principer, som följts för pensionsbeloppens bestämmande i detta fall, som när det gäller statens tjänare.</w:t>
        <w:br/>
        <w:br/>
        <w:t xml:space="preserve">Emellertid biföll kammaren utskottets hemställan men med en helt annan motivering, än som utskottet anfört. Utskottet hade sagt som ett första skäl för sin hemställan, att staten alltid förut i likartade fall beviljat dylik pensionering. Men Andra Kammaren höll mycket strängt på, att detta icke blef sagdt, utan på förslag af herr Jonas Andersson gjorde Andra Kammaren ett uttalande af följande lydelse: &gt;Ehuru åberopandet af gammal häfd icke torde böra gälla såsom giltigt skäl för staten att åtaga sig pensionering åt aflidna kungliga personers tjänare, förefinnas här likväl andra förhållanden, som ensamt kunna rättfärdiga ett sådant åtagande för denna gång, hvilka likväl icke må anses såsom något prejudikat för framtiden. Med särskildt fästadt afseende å den storartade välgörenhet </w:t>
      </w:r>
      <w:r>
        <w:rPr>
          <w:b/>
        </w:rPr>
        <w:t>Hennes²</w:t>
      </w:r>
      <w:r>
        <w:rPr>
          <w:b w:val="0"/>
        </w:rPr>
        <w:t xml:space="preserve"> Maj:t Ankedrottning Josefine under lifstiden städse utöfvade och hvaraf frukterna på flerahanda sätt kommit landet till godo, finner sig Riksdagen allenast af detta skäl föranlåten att bifalla nu förevarande nådiga framställning.»</w:t>
        <w:br/>
        <w:br/>
        <w:t>Så lydde det beslut, som fattades af 1877 års Andra Kammare. Medan alltså 1877 års män här i Andra Kammaren voro mycket angelägna om att icke skaffa ett prejudikat för framtiden — vi må vara dem tacksamma, att de haft en sådan blick för framtiden — skulle vi nu, trots det att 1877 års män undanröjt prejudikatet, bifalla &gt;hvad som varit vanligt»! Då några sådana skäl som de, hvilka förelågo 1873 och 1877, icke nu</w:t>
        <w:br/>
        <w:br/>
        <w:t>kunnat göras gällande vare sig i propositionen eller af hvad af Ang. beredanstatsutskottet andrages, kan jag för min del icke vara med om de af a detta »hänvisande till, hvad som förut varit vanligt». Jag hemme bsa bland ställer om bifall till reservationen. Konung Oscar IT:s tjänare. Häruti instämde herrar Larsson i Lund, Starbäck, Röing (Forts.) och Ström.</w:t>
      </w:r>
    </w:p>
    <w:p>
      <w:pPr>
        <w:pStyle w:val="Heading2"/>
      </w:pPr>
      <w:r>
        <w:t>2. Fredrik Vilhelm Thorsson (Socialdemokraterna, man)</w:t>
      </w:r>
    </w:p>
    <w:p>
      <w:r>
        <w:rPr>
          <w:b w:val="0"/>
        </w:rPr>
        <w:t>Här är fråga om, att Riksdagen skulle bevilja 18,100 kronor för att pensionera några af framlidne konungens äldre tjänare. Jag tänker icke yttra mig om summans storlek, men jag kan icke förlika mig vid den tanken, att svenska staten skulle pensionera tjänare till landets, som jag förmodar, rikaste familj. Jag hyser den tanken, att svenska folket har på ett efter dess förhållanden så gifmildt sätt tillgodosett konungahusets intressen, att den samlade behållningen af denna välvilja skulle hinna till för att pensionera några efterlefvande tjänare.</w:t>
        <w:br/>
        <w:br/>
        <w:t>Då jag har denna uppfattning, kan jag naturligtvis icke ur ren principiell synpunkt vara med om bifall till denna pensionering. Men statsutskottet har funnit sig föranlåtet att icke vidfoga denna begäran någon som helst motivering för sitt tillstyrkande, och skulle Riksdagen följa statsutskottet, så skulle den motivering Kungl. Maj:t lagt till grund för detta anslags äskande äfven godkännas af Riksdagen. .</w:t>
        <w:br/>
        <w:br/>
        <w:t>Förutom den moraliska skyldigheten, som jag för min del anser, att det borde åligga konungahuset att själft draga försorg om sina gamla tjänare, så anser jag, att det äfven finnes en rent juridisk skyldighet för konungahuset att sörja för sina gamla tjänare, och jag förmodar, att äfven om Riksdagen afsloge det nu föreliggande förslaget, så skola båda dessa saker, den moraliska skyldigheten och den rent juridiska, vara tillräckliga, att icke här omnämnda personer blifva i saknad af nödigt uppehälle till sina dagars slut. Då statsutskottet här har bifallit detta utan ett ords motivering, så kan jag icke hjälpa, att jag måste draga fram till jämförelse några saker, som också äro en produkt af statsutskottets behandling af denna hufvudtitel.</w:t>
        <w:br/>
        <w:br/>
        <w:t>Vi handhafva här en hufvudtitel, där man icke så strängt kan hålla på principerna, jag medger det; ty det framträder däri så många gånger just sådana här barmhertighetssynpunkter, som göra, att man icke så noga kan följa de allmänna reglerna. Men då förvånar det mig sannerligen, att, medan utskottet exempelvis i 35:te punkten af detta utskottsbetänkande ansett sig icke kunna bifalla en blygsam begäran om pension åt en person, som för statens räkning utfört arbete i icke mindre än 31 års tid — detta, därför att denne man, trots det att han verkställt arbete i statens tjänst, icke varit uppförd å ordinarie stat, samt oaktadt han icke har någon möjlighet utöfver den allmänna fattigvården</w:t>
        <w:br/>
        <w:br/>
        <w:t>att blifva försörjd — det förvånar mig, säger jag, att i samma utskottbetänkande förekommer ett naket och blankt tlllstyrkande från statsutskottets majoritet af ett anslag, gående ut på 18,100 kronor, fastän enligt min uppfattning skälen synnerligen strängt tala emot bifall. |</w:t>
        <w:br/>
        <w:br/>
        <w:t>Kungl. Maj:t har uti sin motivering, såsom ett skäl till bifall till denna proposition, anfört, att den nuvarande regerande monarken från sin fader fått öfvertaga och utbetala pensioner till ett sammanlagdt belopp af 82,351 kronor. Samma skäl användes, när det gällde att öka Hans Majestät Konungens anslag från 748,000 kronor till 800,000 kronor. Då borde väl det skälet nu hafva sjunkit med en del, eller med 52,000 kronor, och icke alla de 82,000 kronorna fortfarande stå kvar som motivering för det nu framställda anslagskrafvet.</w:t>
        <w:br/>
        <w:br/>
        <w:t>Nu säger man visserligen, att Hans Majestät Konungen icke bör personligen få bära denna börda. Därpå vill jag svara, att jag är den förste att erkänna, att det skulle vara oriktigt att lägga den utgiften på en af det kungliga husets familjemedlem-</w:t>
        <w:br/>
        <w:br/>
        <w:t>: mar. Men det finnes ju en annan inkomst, som är gemensam</w:t>
        <w:br/>
        <w:br/>
        <w:t>för hela den kungliga familjen, och som Riksdagen nyligen sanktionerat att utgå med 300,000 kronor om året af den så kallade Guadeloupe-fonden; och jag tror, att detta anslag skulle kunna räcka till att pensionera dessa gamla tjänare.</w:t>
        <w:br/>
        <w:br/>
        <w:t xml:space="preserve">: Mig synes, att uti sådana tider, som vi nu hafva, med synnerliga svårigheter att få statsregleringen att gå ihop, tider, då statsutskottet anser sig behöfva på en gammal </w:t>
      </w:r>
      <w:r>
        <w:rPr>
          <w:b/>
        </w:rPr>
        <w:t>kvinnas¹</w:t>
      </w:r>
      <w:r>
        <w:rPr>
          <w:b w:val="0"/>
        </w:rPr>
        <w:t xml:space="preserve"> pensionskraf på 300 kronor afpruta 100 kronor och således icke bevilja </w:t>
      </w:r>
      <w:r>
        <w:rPr>
          <w:b/>
        </w:rPr>
        <w:t>henne²</w:t>
      </w:r>
      <w:r>
        <w:rPr>
          <w:b w:val="0"/>
        </w:rPr>
        <w:t xml:space="preserve"> mera än 200 kronor, mig synes, att i sådana ekonomiskt bekymmersamma tider Riksdagen handlar rättast, om den afslår denna kungliga proposition och lämnar sitt bifall till den vid punkten fogade reservationen, till hvilken jag, herr talman, anhåller att få yrka bifall.</w:t>
        <w:br/>
        <w:br/>
        <w:t>tillsammans 400 kronor om året.</w:t>
      </w:r>
    </w:p>
    <w:p>
      <w:pPr>
        <w:pStyle w:val="Heading2"/>
      </w:pPr>
      <w:r>
        <w:t>3. Jacob Larsson (Liberala samlingspartiet, man)</w:t>
      </w:r>
    </w:p>
    <w:p>
      <w:r>
        <w:rPr>
          <w:b w:val="0"/>
        </w:rPr>
        <w:t>Herr talman! Jag hyser visserligen icke någon förhoppning, att kammaren i denna punkt skall afvika från statsutskottets hemställan; men jag kan ändå icke underlåta att för kammaren påvisa, i huru hög grad behjärtansvärd denna motion i alla fall är.</w:t>
        <w:br/>
        <w:br/>
        <w:t>Det gäller här en gammal man, som länge tjänat staten, och hvars verksamhet i statens tjänst upphört, därför att verksamhetsfältet undanryckts honom. Han åtnjuter en liten pension på 240 kronor. Nu hemställer motionären, att denna pension måtte höjas till 400 kronor.</w:t>
        <w:br/>
        <w:br/>
        <w:t>Efter det att mannen i fråga erhöll denna pension på 240 kronor, har han under en lång följd af år fortfarande tjänat staten. Han var först i fångvårdens tjänst och har sedan tjänat staten vid disciplinkompaniet i Varberg, till dess att detta kompani indrogs.</w:t>
        <w:br/>
        <w:br/>
        <w:t xml:space="preserve">Nu sitter denne gamle man med sin ålderstigna </w:t>
      </w:r>
      <w:r>
        <w:rPr>
          <w:b/>
        </w:rPr>
        <w:t>hustru²</w:t>
      </w:r>
      <w:r>
        <w:rPr>
          <w:b w:val="0"/>
        </w:rPr>
        <w:t xml:space="preserve"> hänvisad att lefva på 66 öre om dagen. Jag hemställer, om det verkligen kan anses vara riktigt, att man låter en gammal uttjänt statstjänare på detta sätt framsläpa sin ålderdom i nöd. Jag kan åtminstone icke vara med om det, utan hemställer om afslag å utskottets hemställan och bifall till den i ämnet väckta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1092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