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1093</w:t>
      </w:r>
    </w:p>
    <w:p>
      <w:r>
        <w:rPr>
          <w:b/>
        </w:rPr>
        <w:t xml:space="preserve">Datum: </w:t>
      </w:r>
      <w:r>
        <w:t>1908-05-22</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Eric Trolle (–, man)</w:t>
      </w:r>
    </w:p>
    <w:p>
      <w:r>
        <w:rPr>
          <w:b w:val="0"/>
        </w:rPr>
        <w:t xml:space="preserve">= (Forts.) Herr talman! I denna punkt har statsutskottet funnit sig böra afstyrka Kungl. Maj:ts i ämnet väckta förslag med den motiveringen, att hvarken den pensionssökande </w:t>
      </w:r>
      <w:r>
        <w:rPr>
          <w:b/>
        </w:rPr>
        <w:t>änkan²</w:t>
      </w:r>
      <w:r>
        <w:rPr>
          <w:b w:val="0"/>
        </w:rPr>
        <w:t xml:space="preserve"> eller </w:t>
      </w:r>
      <w:r>
        <w:rPr>
          <w:b/>
        </w:rPr>
        <w:t>hennes²</w:t>
      </w:r>
      <w:r>
        <w:rPr>
          <w:b w:val="0"/>
        </w:rPr>
        <w:t xml:space="preserve"> aflidne man, kanslivaktmästaren vid svenska beskickningen i Berlin Frans Diller, varit svenska undersåtar.</w:t>
        <w:br/>
        <w:br/>
        <w:t xml:space="preserve">Nu är det emellertid att märka, att denne kanslivaktmästare i snart sagdt en mansålder ägnat sitt arbete uteslutande åt den svenska beskickningens tjänst. Han har alltifrån år 1886 ända till sin död år 1905, således i närmare 20 år, varit fast anställd vid beskickningen. Jag kan af egen erfarenhet vitsorda, att han skött sin befattning på ett tillfredsställande sätt. Jag kan äfven vitsorda, att han lämnat sin familj i ytterst betryckta omständigheter, så att denna familj, som består af </w:t>
      </w:r>
      <w:r>
        <w:rPr>
          <w:b/>
        </w:rPr>
        <w:t>änka²</w:t>
      </w:r>
      <w:r>
        <w:rPr>
          <w:b w:val="0"/>
        </w:rPr>
        <w:t xml:space="preserve"> och två minderåriga barn, fått vända sig till den enskilda välgörenheten för att vinna sin nödtorftiga utkomst.</w:t>
        <w:br/>
        <w:br/>
        <w:t>Jag tror mig kunna med bestämdhet påstå, att, därest denne man varit svensk undersåte, det icke skulle ifrågasättas annat än man sörjde för hans efterlefvande. Då framställer sig den frågan: är det rimligt och billigt, att, bara därför att han varit en utländing, man icke skulle sörja för hans efterlefvande? Jag tror det knappast.</w:t>
        <w:br/>
        <w:br/>
        <w:t xml:space="preserve">Det är ju icke främmande för svensk grundlag att i svensk statstjänst anställa utländsk undersåte; och jag vågar tro, att, därest t. ex. en professor af främmande nationalitet vid någon af våra högskolor eller universitet skulle vid sin död efterlämna en behöfvande familj, jag tror, säger jag, att staten icke skulle vilja taga på sig att neka de efterlefvande en skälig pension. Att den nu ifrågavarande mannen tillhört en af de allra sämst aflönade klasserna bland statens tjänare, talar enligt min uppfattning ytterligare till förmån för hans </w:t>
      </w:r>
      <w:r>
        <w:rPr>
          <w:b/>
        </w:rPr>
        <w:t>änka²</w:t>
      </w:r>
      <w:r>
        <w:rPr>
          <w:b w:val="0"/>
        </w:rPr>
        <w:t>. Den aflidne vaktmästaren hade ju under sin tjänstetid en aflöning så ringa, att han efter dåvarande förhållanden endast med yttersta nöd och sparsamhet kunde draga sig fram med sin familj. Jag tror också, att det skulle göra ett föga gynnsamt intryck, om man i detta fall undandroge denna familj statens hjälpande hand. Jag vågar därför vädja till Andra Kammarens känsla af billighet och rättvisa att icke på, jag vågar säga, formella skäl afslå en framställning, som själfva utskottet tyckes anse materiellt berättigad, och därigenom prisgifva denna familj åt nöd och umbäranden.</w:t>
      </w:r>
    </w:p>
    <w:p>
      <w:pPr>
        <w:pStyle w:val="Heading2"/>
      </w:pPr>
      <w:r>
        <w:t>2. Jacob Larsson (Liberala samlingspartiet, man)</w:t>
      </w:r>
    </w:p>
    <w:p>
      <w:r>
        <w:rPr>
          <w:b w:val="0"/>
        </w:rPr>
        <w:t>Herr talman! Efter den vädjan, som nu af hans excellens herr utrikesministern riktats till Andra Kammaren, tror jag mig kunna inskränka mig till att yrka afslag på utskottets betänkande och bifall till den af grefve Wachtmeister och mig vid betänkandet fogade reservationen.</w:t>
      </w:r>
    </w:p>
    <w:p>
      <w:pPr>
        <w:pStyle w:val="Heading2"/>
      </w:pPr>
      <w:r>
        <w:t>3. Karl Starbäck (Lantmanna- och borgarepartiet inom andrakammaren, man)</w:t>
      </w:r>
    </w:p>
    <w:p>
      <w:r>
        <w:rPr>
          <w:b w:val="0"/>
        </w:rPr>
        <w:t xml:space="preserve">Herr talman! Som herrarne här se, har utskottet tillstyrkt bifall till den kungl. propositionen om pension åt ifrågavarande personer, med undantag af ett enda fall, nämligen beträffande renhållerskan Charlotta Gustafsson; utskottet har föreslagit, att för </w:t>
      </w:r>
      <w:r>
        <w:rPr>
          <w:b/>
        </w:rPr>
        <w:t>henne²</w:t>
      </w:r>
      <w:r>
        <w:rPr>
          <w:b w:val="0"/>
        </w:rPr>
        <w:t xml:space="preserve"> pensionen skulle nedsättas från 300 kronor till 200 kronor. Jag har tillsammans med herr Larsson föreslagit, att den kungl. propositionen äfven i denna punkt skulle oförändradt bifallas. Det skäl, som utskottet anfört för detta mindre understöd till </w:t>
      </w:r>
      <w:r>
        <w:rPr>
          <w:b/>
        </w:rPr>
        <w:t>henne²</w:t>
      </w:r>
      <w:r>
        <w:rPr>
          <w:b w:val="0"/>
        </w:rPr>
        <w:t xml:space="preserve">, är egentligen endast det, att </w:t>
      </w:r>
      <w:r>
        <w:rPr>
          <w:b/>
        </w:rPr>
        <w:t>hon²</w:t>
      </w:r>
      <w:r>
        <w:rPr>
          <w:b w:val="0"/>
        </w:rPr>
        <w:t xml:space="preserve"> under de senare åren icke förtjänat mera än 217 kronor, och att därför </w:t>
      </w:r>
      <w:r>
        <w:rPr>
          <w:b/>
        </w:rPr>
        <w:t>hennes²</w:t>
      </w:r>
      <w:r>
        <w:rPr>
          <w:b w:val="0"/>
        </w:rPr>
        <w:t xml:space="preserve"> pensionsbelopp icke skulle sättas högre än till 200 kronor. Nu kan man i och för sig ifrågasätta, om en sådan princip är riktig, att, därför att en person under senare år förtjänat litet och sålunda möjligheterna att aflägga besparingar blifvit mindre, konsekvensen skulle bli den, att det understöd, som staten ger, skulle blifva rindre. Men om man ser på detta utskottsbetänkande, skall man finna, att det finnes två personer, som utskottet föreslår skulle erhålla 300 kronor, den ene är kakelugnsmakaren Karl August Magnusson och den andre skogvaktaren Lars Thorsell, och af dessa har under senare år den förres förtjänst varit allenast 187 kronor och den andres i medeltal blott 132 kronor. Thorsell är 81 år gammal, men den andre 58 år gammal. Den nu ifrågavarande personen, Gustafsson, är nästan 69 år gammal. Det synes mig sålunda, att de principer, som utskottet framfört, icke skulle vara synnerligen hållbara. Men därtill kommer också, att alla de myndigheter, som beredt frågan, utan tvekan föreslagit pensionen till 300 kronor. Så är förhållandet med statskontoret. Statskontoret säger med afseende på denna person, att det är med hänsyn till, att </w:t>
      </w:r>
      <w:r>
        <w:rPr>
          <w:b/>
        </w:rPr>
        <w:t>hon²</w:t>
      </w:r>
      <w:r>
        <w:rPr>
          <w:b w:val="0"/>
        </w:rPr>
        <w:t xml:space="preserve"> på senare år till följd af minskade kroppskrafter icke kunnat förtjäna mer än 217 kronor som det föreslår pensionen till 300 kronor. Man kan till detta lägga, att, äfven om man räknar med fri bostad och vedbrand i kronans hus, beloppet skulle stiga endast med ett eller annat hundratal kronor.</w:t>
        <w:br/>
        <w:br/>
        <w:t>Då sålunda alla skäl, äfven de formella, synas mig tala för bifall till Kungl. Maj:ts proposition oförändrad, ber jag, herr tal-</w:t>
        <w:br/>
        <w:br/>
        <w:t>man, få yrka bifall till densamma och afslag å utskottets hemställan.</w:t>
      </w:r>
    </w:p>
    <w:p>
      <w:pPr>
        <w:pStyle w:val="Heading2"/>
      </w:pPr>
      <w:r>
        <w:t>4. Anders August Eriksson (Liberala samlingspartiet, man)</w:t>
      </w:r>
    </w:p>
    <w:p>
      <w:r>
        <w:rPr>
          <w:b w:val="0"/>
        </w:rPr>
        <w:t xml:space="preserve">Herr talman! Jag har tillåtit mig att framlägga en motion om pension till aflidne regementskommissarien G. Gyllanders </w:t>
      </w:r>
      <w:r>
        <w:rPr>
          <w:b/>
        </w:rPr>
        <w:t>dotter²</w:t>
      </w:r>
      <w:r>
        <w:rPr>
          <w:b w:val="0"/>
        </w:rPr>
        <w:t xml:space="preserve">. Nu har statsutskottet afstyrkt denna min motion på skäl, söm jag icke kan anse vara giltiga nog för afslag. Utskottet har nämligen sagt, att då det icke synes kunna ifrågasättas att, såsom i motionen föreslagits, på allmänna indragningsstaten uppföra pension åt en numera 63-årig </w:t>
      </w:r>
      <w:r>
        <w:rPr>
          <w:b/>
        </w:rPr>
        <w:t>dotter²</w:t>
      </w:r>
      <w:r>
        <w:rPr>
          <w:b w:val="0"/>
        </w:rPr>
        <w:t xml:space="preserve"> till en för 48 år sedan afliden statstjänsteman, får utskottet hemställa o. s. v. Nu vill jag framhålla, att just dessa skäl, som utskottet här framställt, böra utgöra de starkaste skäl för bifall till motionen. Jag vill påminna om, att fadern till den person, för hvilken pension blifvit begärd, varit statstjänsteman i öfver 20 år och har till pensionskassan betalat viss del hvarje år. Det är sålunda icke så oväsentliga belopp, som han här insatt. Nu är förhållandet det, att ingen af denne aflidne regementskommissaries arfvingar ej heller hans </w:t>
      </w:r>
      <w:r>
        <w:rPr>
          <w:b/>
        </w:rPr>
        <w:t>hustru²</w:t>
      </w:r>
      <w:r>
        <w:rPr>
          <w:b w:val="0"/>
        </w:rPr>
        <w:t xml:space="preserve"> har från pensionskassan mottagit pension. Denna enda </w:t>
      </w:r>
      <w:r>
        <w:rPr>
          <w:b/>
        </w:rPr>
        <w:t>dotter²</w:t>
      </w:r>
      <w:r>
        <w:rPr>
          <w:b w:val="0"/>
        </w:rPr>
        <w:t xml:space="preserve"> lefver i den föreställningen, att </w:t>
      </w:r>
      <w:r>
        <w:rPr>
          <w:b/>
        </w:rPr>
        <w:t>hon²</w:t>
      </w:r>
      <w:r>
        <w:rPr>
          <w:b w:val="0"/>
        </w:rPr>
        <w:t xml:space="preserve"> borde få understöd, men har fått afslag på sin begäran från kassan af det skäl, att </w:t>
      </w:r>
      <w:r>
        <w:rPr>
          <w:b/>
        </w:rPr>
        <w:t>hennes²</w:t>
      </w:r>
      <w:r>
        <w:rPr>
          <w:b w:val="0"/>
        </w:rPr>
        <w:t xml:space="preserve"> fader vid sin död lämnade efter sig 4,965 kronor 90 öre, och därför har pensionskassans styrelse trott sig vara föranlåten att afstyrka</w:t>
        <w:br/>
        <w:br/>
        <w:t xml:space="preserve">denna begäran. Denna afstyrkan är grundad på en bestämmelse i pensionskassans reglemente. Men jag anser, att detta reglemente icke är fullt rättvist, och har därför vågat göra hemställan till Riksdagen att bevilja pensionen i fråga. Den är ringa för den, som skall gifva den, men stor nog för den, som får den. Jag vill vidare erinra, att </w:t>
      </w:r>
      <w:r>
        <w:rPr>
          <w:b/>
        </w:rPr>
        <w:t>hon²</w:t>
      </w:r>
      <w:r>
        <w:rPr>
          <w:b w:val="0"/>
        </w:rPr>
        <w:t xml:space="preserve"> har icke ingått till pensionskassan med denna begäran, så länge </w:t>
      </w:r>
      <w:r>
        <w:rPr>
          <w:b/>
        </w:rPr>
        <w:t>hennes²</w:t>
      </w:r>
      <w:r>
        <w:rPr>
          <w:b w:val="0"/>
        </w:rPr>
        <w:t xml:space="preserve"> arbetskraft ännu stod bi, men då </w:t>
      </w:r>
      <w:r>
        <w:rPr>
          <w:b/>
        </w:rPr>
        <w:t>hon²</w:t>
      </w:r>
      <w:r>
        <w:rPr>
          <w:b w:val="0"/>
        </w:rPr>
        <w:t xml:space="preserve"> numera är oförmögen att försörja sig själf, har </w:t>
      </w:r>
      <w:r>
        <w:rPr>
          <w:b/>
        </w:rPr>
        <w:t>hon²</w:t>
      </w:r>
      <w:r>
        <w:rPr>
          <w:b w:val="0"/>
        </w:rPr>
        <w:t xml:space="preserve"> trott sig äga en viss rätt till pension, då </w:t>
      </w:r>
      <w:r>
        <w:rPr>
          <w:b/>
        </w:rPr>
        <w:t>hennes²</w:t>
      </w:r>
      <w:r>
        <w:rPr>
          <w:b w:val="0"/>
        </w:rPr>
        <w:t xml:space="preserve"> fader till kassan inbetalt rätt afsevärdt belopp utan att någon af hans anhöriga utbekommit något därifrån. Jag är också af den åsikten, att </w:t>
      </w:r>
      <w:r>
        <w:rPr>
          <w:b/>
        </w:rPr>
        <w:t>hon²</w:t>
      </w:r>
      <w:r>
        <w:rPr>
          <w:b w:val="0"/>
        </w:rPr>
        <w:t xml:space="preserve"> bort erhålla pension ur denna kassa, och därför har jag väckt motionen. Jag hoppas, att denna kammare, som icke visat sig obenägen, att där ömmande fall förekomma, äfven följa en princip, som visserligen icke kan sägas vara formellt riktig men dock rättvis, icke skall vägra att gifva detta lilla understöd, som är af behofvet ytterligt påkalladt.</w:t>
        <w:br/>
        <w:br/>
        <w:t>Jag ber, herr talman, att få yrka afslag på utskottets hemställan och bifall till min motion.</w:t>
        <w:br/>
        <w:br/>
        <w:t>Herr vice talmannen: Herr talman! Jag skall icke tillåta mig att upptaga kammarens tid med att diskutera denna fråga, utan vill inskränka mig till att på de skäl, som af utskottet blifvit anförda, anhålla om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1093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