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116</w:t>
      </w:r>
    </w:p>
    <w:p>
      <w:r>
        <w:rPr>
          <w:b/>
        </w:rPr>
        <w:t xml:space="preserve">Datum: </w:t>
      </w:r>
      <w:r>
        <w:t>1909-05-12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Fredrik Pettersson (Första kammarens protektionistiska parti, man)</w:t>
      </w:r>
    </w:p>
    <w:p>
      <w:r>
        <w:rPr>
          <w:b w:val="0"/>
        </w:rPr>
        <w:t>Jag får vördsamt hemställa, att detta betänkande må föredragas punktvis, dock så, att vid föredragningen af punkt 1 tillstånd må lämnas till att yttra sig öfver betänkandet i sin helhet. '</w:t>
        <w:br/>
        <w:br/>
        <w:t>Enskild mellanskola å ort, där allmänt läroverk eller statsunderstödd mellanskola finnes, må erhålla understöd, endast om lärjungeantalet i motsvarande klasser af allmänt läroverk resp. i redan befintlig statsunderstödd mellanskola under de senaste tre åren uppgått i medeltal till 100.»</w:t>
        <w:br/>
        <w:br/>
        <w:t xml:space="preserve">»Af anslaget till enskilda mellanskolor må understöd utgå dels till enskilda skolor, som utgöra öfverbyggnader på den egentliga folkskolan och i afseende å inträdesfordringarna förutsätta det kunskapsmått, som inhämtas i högsta klassen af folkskola, anordnad enligt gällande normalplans typ litt. A, dels till samskolor, som för år 1909 åtnjutit understöd från anslaget till högre skolor för </w:t>
      </w:r>
      <w:r>
        <w:rPr>
          <w:b/>
        </w:rPr>
        <w:t>kvinnlig¹</w:t>
      </w:r>
      <w:r>
        <w:rPr>
          <w:b w:val="0"/>
        </w:rPr>
        <w:t xml:space="preserve"> ungdom.</w:t>
        <w:br/>
        <w:br/>
        <w:t>Ehuru jag helst sett, att den eforus enligt kyrkolagen tillkommande rätten att hafva uppsikt öfver skolorna blifvit omnämnd i de särskilda bestämmelserna om ifrågavarande anslag, så har jag dock inskränkt mig till att yrka, att de två sista styckena å denna sida måtte erhålla följande lydelse:</w:t>
        <w:br/>
        <w:br/>
        <w:t>»Däremot anser utskottet lämpligt, att i de ytterligare bestämmelser, som Kungl. Maj:t torde komma att utfärda rörande undervisningen i dessa skolor, den bestämmelse intages, att det tillkommer vederbörande eforus att hafva uppsikt öfver kristendomsundervisningen i likhet med hvad som gäller beträffande allmänna läroverk.</w:t>
        <w:br/>
        <w:br/>
        <w:t>Hvad utskottet sålunda anfört bör enligt utskottets mening äga tillämpning på inspektionen öfver samtliga i detta utlåtande omnämnda skolor.» ,</w:t>
        <w:br/>
        <w:br/>
        <w:t xml:space="preserve">I öfverensstämmelse med en inom Andra Kammaren väckt motion, n:o 237, har utskottet å sid. 37 uttalat den uppfattningen, att inspektionen öfver de hygieniska förhållandena vid statsunderstödda </w:t>
      </w:r>
      <w:r>
        <w:rPr>
          <w:b/>
        </w:rPr>
        <w:t>flickskolor²</w:t>
      </w:r>
      <w:r>
        <w:rPr>
          <w:b w:val="0"/>
        </w:rPr>
        <w:t xml:space="preserve"> icke vidare bör tillkomma eforalstyrelserna utan i likhet med</w:t>
        <w:br/>
        <w:br/>
        <w:t>inspektionen i öfrigt ombesörjas af öfverstyrelsen för rikets allmänna Om statsläroverk. understöd till</w:t>
        <w:br/>
        <w:br/>
        <w:t>sa ö ö kiof0Ng os Å nala I samband härmed har emellertid utskottet, utan någon härtill i och anskilda</w:t>
        <w:br/>
        <w:br/>
        <w:t>motionsform gifven anledning, uttalat den förmodan, att i de närmare läroanstalter. bestämmelser, som Kungl. Maj:t torde utfärda rörande undervisningen = (Forts.)</w:t>
        <w:br/>
        <w:br/>
        <w:t xml:space="preserve">i högre </w:t>
      </w:r>
      <w:r>
        <w:rPr>
          <w:b/>
        </w:rPr>
        <w:t>flickskolor²</w:t>
      </w:r>
      <w:r>
        <w:rPr>
          <w:b w:val="0"/>
        </w:rPr>
        <w:t xml:space="preserve"> samt statsunderstödda kommunala och enskilda mellanskolor, en bestämmelse kommer att intagas, som gifver eforus</w:t>
        <w:br/>
        <w:br/>
        <w:t>en rätt till uppsikt öfver ifrågavarande skolor, hvilken hittills icke</w:t>
        <w:br/>
        <w:br/>
        <w:t>varit honom tillförsäkrad. Däremot har utskottet varit af den åsikten,</w:t>
        <w:br/>
        <w:br/>
        <w:t>att en dylik uppsiktsrätt icke bör gifvas eforus vare sig vid de högre</w:t>
        <w:br/>
        <w:br/>
        <w:t>gossoch samskolorna eller vid de enskilda lärarinneseminarierna.</w:t>
        <w:br/>
        <w:br/>
        <w:t xml:space="preserve">Då vi ej kunna finna någon anledning, hvarför de högre </w:t>
      </w:r>
      <w:r>
        <w:rPr>
          <w:b/>
        </w:rPr>
        <w:t>flickskolorna²</w:t>
      </w:r>
      <w:r>
        <w:rPr>
          <w:b w:val="0"/>
        </w:rPr>
        <w:t xml:space="preserve"> jämte de kommunala och enskilda mellanskolorna skulle i förevarande hänseende intaga en helt annan ställning än de högre gossoch samskolorna samt de enskilda lärarinneseminarierna och det ifrågavarande uttalandet äfven i öfrigt synes oss icke vara af omständigheterna påkalladt, hafva vi yrkat, att de båda stycken, som stå nederst å sid. 37 i motiveringen till utskottets utlåtande, måtte utgå.»</w:t>
      </w:r>
    </w:p>
    <w:p>
      <w:pPr>
        <w:pStyle w:val="Heading2"/>
      </w:pPr>
      <w:r>
        <w:t>2. Fredrik Pettersson (Första kammarens protektionistiska parti, man)</w:t>
      </w:r>
    </w:p>
    <w:p>
      <w:r>
        <w:rPr>
          <w:b w:val="0"/>
        </w:rPr>
        <w:t>Då jag nu ber att få yrka bifall till punkt I, sådan den här föredragits, anhåller jag att med några ord i största korthet få något klargöra de synpunkter, som varit för utskottet vägledande vid behandlingen af denna fråga.</w:t>
        <w:br/>
        <w:br/>
        <w:t xml:space="preserve">Vi hafva utgått från behofvet af ökadt understöd åt enskilda läroanstalter, såväl enskilda mellanskolor, högre </w:t>
      </w:r>
      <w:r>
        <w:rPr>
          <w:b/>
        </w:rPr>
        <w:t>flickskolor²</w:t>
      </w:r>
      <w:r>
        <w:rPr>
          <w:b w:val="0"/>
        </w:rPr>
        <w:t>, högre gossoch samskolor som enskilda lärarinneseminarier. Vidare har utskottet sökt uppfylla den af Riksdagen år 1907 uttalade önskan om en bättre och mera tidsenlig uppdelning af de anslag, som skola tillgodose dessa läroverk, på det att hvarje läroanstalt må kunna söka sitt anslag inom den grupp, dit den rätteligen hör. Och slutligen har utskottet sökt utreda frågan om den af Kungl. Maj:t föreslagna nya läroverkstypen, nämligen den kommunala mellanskolan. Beträffande denna sista typ finnes det mycken tvekan, och den frågan har från många håll framställts, om det icke skulle vara lämpligare, när det gäller de bredare lagren att söka genom öfverbyggnad i en mera praktisk riktning på folkskolan göra eleverna mera skickade för det allmänna lifvet. Men huru berättigade än dessa önskningar må vara, så är dock säkert, att dessa kommunala mellanskolor alltid skola hafva sin plats att fylla i större industrisamhällen, mindre städer och köpingar, där icke allmänna läroverk finnas. Men för att denna mellanskola skall kunna växa sig in i förtroendet och hålla sig uppe, har utskottet sökt att omgärda densamma med vissa bestämmelser. Det har i detta hänseende ansett sig böra föreslå att göra kurserna 4-åriga och att öka läsårets längd, så att det blir lika med läsåret vid allmänna läroverken; äfvenså har utskottet föreslagit, att skolan skulle ställas under inspektion af läroverksöfverstyrelsen. Dessutom har utskottet skärpt fordringarna för inträde, allt i syfte att den examen, som aflägges vid skolan, skall vara likvärdig med den realskoleexamen, som vid de allmänna läroverken aflägges af deras elever.</w:t>
        <w:br/>
        <w:br/>
        <w:t>Den fråga, som nu föreligger eller frågan om ökandet af anslagen till de enskilda läroverken, är icke ny. Det har visat sig behof af att</w:t>
        <w:br/>
        <w:br/>
        <w:t xml:space="preserve">och enskilda dessa anslag höjas. Hvad </w:t>
      </w:r>
      <w:r>
        <w:rPr>
          <w:b/>
        </w:rPr>
        <w:t>flickskolorna²</w:t>
      </w:r>
      <w:r>
        <w:rPr>
          <w:b w:val="0"/>
        </w:rPr>
        <w:t xml:space="preserve"> beträffar ligger till grund för läroanstalter. anslagen till dem 1896 års Riksdags beslut, och understödens storlek</w:t>
        <w:br/>
        <w:br/>
        <w:t xml:space="preserve">fastställdes vid 1902 års riksdag. De utgå nu efter elevantalet med 45 kronor för hvarje lev, högst för 100 elever med 4,500 kronor till hvarje skola. Men det har visat sig, att sättet för dessa anslags utgående ingalunda är tillfredsställande, ty en skolas behof af ökadt anslag växer icke i samma mån, som elevantalet ökas. Därför har också Kungl. Maj:t i detta förslag hemställt, att understöden till dessa skolor skola utgå på två sätt, först och främst ett understöd till själfva skolan och så ett bidrag till </w:t>
      </w:r>
      <w:r>
        <w:rPr>
          <w:b/>
        </w:rPr>
        <w:t>lärarinnornas³</w:t>
      </w:r>
      <w:r>
        <w:rPr>
          <w:b w:val="0"/>
        </w:rPr>
        <w:t xml:space="preserve"> aflöning. Skulle detta förslag gå igenom, skulle särskildt för de högre </w:t>
      </w:r>
      <w:r>
        <w:rPr>
          <w:b/>
        </w:rPr>
        <w:t>flickskolorna²</w:t>
      </w:r>
      <w:r>
        <w:rPr>
          <w:b w:val="0"/>
        </w:rPr>
        <w:t xml:space="preserve"> deras ekonomi ställa sig på ett helt annat och synnerligen mycket förmånligare sätt än hittills. Och det har varit ett länge insedt behof att vidtaga denna förändring. I dessa punkter hafva vi inom utskottet varit ense.</w:t>
        <w:br/>
        <w:br/>
        <w:t>Alla dessa önskningar och berättigade kraf skulle dock kunna gå om intet i år på grund af de villkor, som Andra Kammarens ledamöter hafva vidhäftat sitt bifall till dessa anslag. Den högre folkskolans målsmän hafva framhållit den högre folkskolans tillgodoseende vid detta anslag och ställt upp såsom oeftergifligt villkor fullständig ombildning af den högre folkskolan i så motto, att den kommunala mellanskolan skulle formas in i och blifva en afart af den högre folkskolan. Och dessutom hafva Andra Kammarens ledamöter yrkat på att gifva åt den uppstående lärarkåren folkskolans lärarkårs aflöning och pensionsrättigheter. Det torde vara något enastående, att Riksdagen utan någon som helst föregående utredning, utan Kungl. Maj:ts förslag, endast kategoriskt befaller, att en tjänstemannagrupp skall få åtnjuta den eller den aflöningen och tillhöra den eller den pensionsklassen.</w:t>
        <w:br/>
        <w:br/>
        <w:t>Jag vill nu lifligt betona, att ingen af oss har försökt att på något sätt hindra utvecklingen af den högre folkskolan. Tvärtom, vi hafva på den sidan inom utskottet försökt att, genom att fylla ut den lucka som finnes i den kungl. propositionen, förmedla och underlätta öfvergången från den högre folkskolan till den kommunala mellanskolan. Men "att gå så långt som att helt och hållet inrangera mellanskolan i den högre folkskolan, det hafva vi icke ansett oss kunna tillstyrka. Den” högre folkskolan åtnjuter en synnerligen fri undervisningsplan, och dess arbetstid är väsentligt kortare. I somliga högre folkskolor utgör undervisningen icke mera än fyra timmar om dagen med 24 veckors läsår. Vi hafva också motsatt oss det villkor att göra anslagen till den ena läroverksformen beroende af den andra, hvilket från Andra Kammaren uppställts, det händer ofta, att villkor inflickas i ett bevil- Jjande af anslag, och vår senare riksdagshistoria visar ju, att så varit fallet vid det ena tillfället efter det andra, och detta har inträffat, vid behandlingen af både stora och små saker. Jag behöfver icke i minnet återkalla sammankopplandet af grundskatterna och indelningsverket, elementarlärarnes aflöning med latinfrågan, prästboställena och prästlöneregleringen och allt sådant. Nu vill man inflicka detta villkor om de högre folkskolornas framskjutande för att de enskilda läroverken</w:t>
        <w:br/>
        <w:br/>
        <w:t xml:space="preserve">skola få sin ekonomi ordnad. Nu vill jag nämna, att de högre folk- Om statsskolorna trots sina 50-åriga anor i Sverige likvisst icke hafva mer för- WRdergrne stått att växa sig in i allmänhetens behof, än att det vid 1908 års ooh Mskilda hösttermin fanns inalles 28 högre folkskolor i verksamhet — och på läroanstalter. denna organisation vill man nu bygga hela den nya läroverkstypen! (Forts.) Jag kan mycket väl förstå, att villkor sammanföras med anslag, då villkoren stå i organiskt sammanhang med anslaget, men det bestrider jag att detta gör. Huru kan man få fram ett sådant villkor som att för exempelvis lönetillägg åt </w:t>
      </w:r>
      <w:r>
        <w:rPr>
          <w:b/>
        </w:rPr>
        <w:t>lärarinnor³</w:t>
      </w:r>
      <w:r>
        <w:rPr>
          <w:b w:val="0"/>
        </w:rPr>
        <w:t xml:space="preserve"> och lärare vid undervisningsanstalterna skola folkskollärarne flyttas upp i den eller den pensionsklassen? Det hör icke dit, och jag förstår icke, huru uppfinnaren af detta villkor kan försvara detta sammanhang. Vi andra hafva velat hvar för sig behandla denna fråga rörande organisationen af lägre samskolor, högre </w:t>
      </w:r>
      <w:r>
        <w:rPr>
          <w:b/>
        </w:rPr>
        <w:t>flickskolor²</w:t>
      </w:r>
      <w:r>
        <w:rPr>
          <w:b w:val="0"/>
        </w:rPr>
        <w:t>, högre gossoch samskolor samt enskilda lärarinneseminarier, hvilken frågas lösning är så ytterst nödvändig. När man vill förbinda denna fråga med sådana villkor som, såvidt jag kan finna, mest äro tillkomna för att tillgodose intressena för den högre folkskolan och dess lärare, kan jag icke underlåta att uttala, att detta betänkande gått ifrån sin uppgift att behandla en allmän undervisningsfråga, en skolfråga, till att blifva en skollärarfråga för att få fram intressena häri, och detta har jag icke kunnat biträda.</w:t>
        <w:br/>
        <w:br/>
        <w:t>Jag yrkar bifall till punkt 1 af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