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w:t>
      </w:r>
    </w:p>
    <w:p>
      <w:r>
        <w:rPr>
          <w:b/>
        </w:rPr>
        <w:t xml:space="preserve">Datum: </w:t>
      </w:r>
      <w:r>
        <w:t>1910-03-02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Östberg (Första kammarens nationella parti, man)</w:t>
      </w:r>
    </w:p>
    <w:p>
      <w:r>
        <w:rPr>
          <w:b w:val="0"/>
        </w:rPr>
        <w:t>Såsom redan har framhållits, är den tvist här pågår, om man skall sluta sig till utskottets eller till reservanternas förslag, af skäligen underordnad betydelse, då båda förslagen innehålla hemställan att aflåta skrifvelse till Kungl. Maj:t med begäran om utredning i hithörande ärende.</w:t>
        <w:br/>
        <w:br/>
        <w:t>Det synes mig i alla fall som om lagutskottets kläm äger företräde framför reservanternas; den senare talar allenast om, att man skulle hos Kungl. Maj:t begära förnyad utredning i ären-</w:t>
        <w:br/>
        <w:br/>
        <w:t>Om linddet — utan att angifva syftet därmed. I utskottets förslag till rigare villskrifvelse anhgifves däremot syftet med utredningen, nämligen sä för, att göra det lättare för vederbörande samhällen att komma i åtaf ägannjutande af en redan faktiskt till gata eller annan trafikled uppderätt tillåten mark. Då det är detta syfte, som behöfver understrykas, gatumark, och herr Trygger förklarat, att reservanternas motivering:icke</w:t>
        <w:br/>
        <w:br/>
        <w:t>Taras kn duger såsom motivering i en Riksdagens skrifvelse, tillåter jag</w:t>
        <w:br/>
        <w:br/>
        <w:t>ullmänt Mig, herr talman, yrka bifall till lagutskottets ifrågavarande</w:t>
        <w:br/>
        <w:br/>
        <w:t>Herr Löfgren. Herr Talman, mina herrar! Den kortfattade formuleringen af min motion har föranledt utskottet till</w:t>
        <w:br/>
        <w:br/>
        <w:t>ett lika kortfattadt afslagsyrkande. Jag medger också, att de</w:t>
        <w:br/>
        <w:br/>
        <w:t>skäl, som varit de för mig bestämmande, icke blifvit så fullskaffande</w:t>
        <w:br/>
        <w:br/>
        <w:t>ständigt angifna vid framläggandet af denna motion, som önskligt varit, och jag är därför angelägen, att kammaren vid frågans afgörande skall hafva alldeles klart för sig, huru jag ser saken.</w:t>
        <w:br/>
        <w:br/>
        <w:t xml:space="preserve">Utskottet har tydligen i min framställning velat finna ett attentat mot kyrkan i </w:t>
      </w:r>
      <w:r>
        <w:rPr>
          <w:b/>
        </w:rPr>
        <w:t>hennes²</w:t>
      </w:r>
      <w:r>
        <w:rPr>
          <w:b w:val="0"/>
        </w:rPr>
        <w:t xml:space="preserve"> egenskap af statsreligionens vårdarinna vid de allmänna läroverken. Nej, för all del, denna innebörd har motionen icke alls. Frågan om den obligatoriska och konfessionella religionsundervisningen vid de allmänna läroverken är en sak för sig, som inte beröres af motionen.</w:t>
        <w:br/>
        <w:br/>
        <w:t>Kort och godt kan däremot meningen med min framställning uttryckas i två satser. Den ena är den, att konsekvensen af den år 1904 påbörjade centraliseringen af ledningen utaf de allmänna läroverken genom läroverksstyrelsen, synes mig vara, att eforaten, de gamla decentraliserade styrelserna, också afskaffas. Detta är mitt första påstående. Mitt andra är det, att det kyrkliga inflytandet på särskildt religionsundervisningen i de allmänna läroverken bör, om och så långt det skall fortfara, göra sig gällande på en annan väg, så att det ingår som ett naturligt led i den numera centraliserade organisationen. Jag anser för min del icke, att den eforala institutionen därvidlag innebär det riktiga uttrycket för det kyrkliga inflytandet.</w:t>
        <w:br/>
        <w:br/>
        <w:t>Som bekant var läroverksstyrelsen före 1904 års reform starkt decentraliserad. De allmänna läroverken stodo stiftvis under lokala myndigheter bestående af domkapitel med biskoparna som eforer, och dessa lokala myndigheter bestämde i det stora hela öfver undervisningen. Domkapitlen tillsatte lärare och bedömde de s. k. undervisningsprofven. Biskoparna som eforer afgåfvo återigen yttranden vid rektorsförordnanden, beviljade tjänstledighet, förordnade vikarier, bestämde öfver läroböcker och öfvervakade lärometoderna. — Utskottet tror sig finna en inkonsekvens från min sida däri, att jag erkänt den stora uppgift, dessa institutioner på sin tid fyllt. Att underkänna deras stora betydelse kan icke falla mig in; det vore liktydigt med att förneka värdet af allt det, som de lokala läroverksstyrelserna uträttat, medan de funnos, och det kunde aldrig falla mig in. Men nu är det så, att dessa lokala styrelser och deras befogenheter blifvit ersatta med centrala organ för samma saker. Undervisningsprofven äro borttagna; lärarna tillsättas icke längre i någon del ens af domkapitel och eforus, utan tillsättas på annat sätt af Kungl. Maj:t efter förslag af öfverstyrelsen. Genom instruktionen för den nya öfverstyrelsen är bestämdt, att denna skall under Kungl. Maj:t hafva öfverinseendet öfver samtliga allmänna läroverk, inspektera dessa samt bestämma läroböcker såväl i kristendom som i andra ämnen. Sedan hafva olika för-</w:t>
        <w:br/>
        <w:br/>
        <w:t>Nu är däremot förhållandet ett annat. Ofverstyrelsen har vunnit en fast och enhetlig organisation, dess inspektionsverksamhet är i full gång, och nu äro alla läroverk i Sverige vederbörligen inspekterade och genomgångna af öfverstyrelsen. Vidare äro bestämda normer och för hela landet likformiga regler äfvensom nya läroböcker och kurser antagna. Allt är nytt vordet — utom biskoparnas eforat!</w:t>
        <w:br/>
        <w:br/>
        <w:t>Då jag för min del måste anse detta innebära en oegentlighet, sammanhänger det i främsta rummet med min uppfattning af den nyss gjorda frågan: hvilken ställning intaga eforer-</w:t>
        <w:br/>
        <w:br/>
        <w:t>na till läroverksöfverstyrelsen, en sidoordnad eller underordnad? Om af- Under dechargedebatten vid 1907 års riksdag ansåg förutvarande skaffande statsrådet Berg, som satt på de anklagades bänk för sina skol- Mkr förordningar, att läroverksstadgan ställt eforerna under läroverks- Inet till styrelsen. Jag undrar, om den saken är klar och obestridlig .eforus. också för eforerna själfva? Jag tror det knappast. För min del (Forts.) anser jag också, att den saken kan dragas i tvifvelsmål. Mig synes eforus snarare hafva en sidoställning till öfverstyrelsen, en själfständig, på hans biskopsdöme närmast grundad uppsikt särskildt öfver kristendomsundervisningen. &lt;Läroverksstadgan förehåller visserligen på ett platoniskt sätt eforus lämpligheten att anmäla företedda missförhållanden till öfverstyrelsen, men hans befogenhet synes knappast vara inskränkt härtill. Det torde också tillhöra hans öfverordnade ställning gentemot läroverkets rektor och lärare att själf gifva åtminstone råd och förmaningar — längre kan han icke gå — liksom han äger att presidera vid läroverkskollegiet och där deltaga i målens behandling. Därigenom kan han öfva mycket stort inflytande på läroverkets skötsel. Om det åter är så, att min åsikt icke är riktig, att eforerna icke kunna anses vara sidoställda, utan underordnade i förhållande till öfverstyrelsen och således icke stå direkt under Kungl. Maj:t, synes mig, att den nuvarande eforalinstitutionen icke står i öfverensstämmelse med hvad som var den ursprungliga meningen med den, och icke heller synes den mig öfverensstämma med den centrala myndighetens och den enhetliga undervisningens bästa inom hela landet. Öfverstyrelsen skall sålunda vara bunden af vissa personer, som på grund af andra förhållanden fått plats som biskopar på respektive platser. Öfverstyrelsen skall vara bunden af dessa organ för att representera öfverstyrelsens intressen på sina respektive ställen. Det är denna halfhet och obestämdhet i efori ställning, som jag finner anmärkningsvärd -- en ställning, hvilken kanske icke begagnas alls, kanske också begagnas i öfverensstämmelse med de principer, enligt hvilka öfverstyrelsen sköter läroverken, men som också kan begagnas, om inte till skada för skolan, så i alla fall till förryckande af de grunder, efter hvilka öfverstyrelsen eljest reglerar undervisningen.</w:t>
        <w:br/>
        <w:br/>
        <w:t>För den, som är intresserad af denna fråga, erbjuda 1908 års kyrkomötes förhandlingar ett visst intresse. Där var ett förslag väckt om att bereda kyrkan större inflytande på religionsundervisningen än den för närvarande har, och eforalinstitutionens vanmakt debatterades i samband därmed. Det utskott, som behandlade saken, ville emellertid icke helt och hållet vara med om att genom bestämda regler öka det kyrkliga inflytandet, men tröstade kyrkomötet med följande passus i sitt betänkande: »Hvad efori ställning vidkommer, så är den uppsikt öfver de allmänna läroverken, som tillkommer honom enligt &amp;</w:t>
        <w:br/>
        <w:br/>
        <w:t>Farhågan härför är så mycket större, som åtminstone en del "af biskoparna ha annan uppfattning än öfverstyrelsen om bedrifvandet af just det ämne, kristendomsundervisningen, som eforernas kontroll närmast skulle gälla. För att styrka mitt påstående härom ber jag att åter få hänvisa till 1908 års kyrkomötesförhandlingar. Där gjorde sig särskildt biskop Ullman till målsman för dessa eforer, som skarpt fördöma öfverstyrelsens både kursplan och läroböcker i kristendom. »I de nya läroböckerna», sade han, bland annat, »framträder benägenheten att tala sväfvande och tvetydigt om vissa viktiga frälsningsfakta och kristendomssanningar». Han klandrade de »sväfvande fraser, som ersatt historiskt betryggande realiteter», och underkände en härpå grundad undervisning. Däremot framhöllo de teologie professorer, som varit med och antagit läroböckerna, dessas förtjänster just med hänsyn till sådana frälsningsfakta, som de tyckte vara viktigast. Hvem som nu har rätt, tillkommer det icke lekmannen att yttra sig om. Men så mycket tyckes mig säkert, att denna meningsskiljaktighet mellan den öfver läroböcker och lärometoder bestämmande och å andra sidan: den kontrollerande myndigheten i fråga om hvad som är en rätt kristendom kan leda till slitningar mellan öfverstyrelse och efores samt till oreda och osäkerhet i den undervisning, som eforus till äfventyrs finner sig böra kontrollera.</w:t>
        <w:br/>
        <w:br/>
        <w:t>Detta är motiveringen till hvad jag sagt om faran för sidoinflytelser, slitningar och oreda. Däremot har jag inte sagt hvad utskottet behagat tillägga därom, »att eforus skulle missbruka sin ställning till skada för skolan». Jag vill således inte alls påstå, att en eforus missbrukar sin i viss mån af öfverstyrelsen oberoende ställning, om han brukar den till hvad han anser vara rätt. Inte heller vill jag ge mig in på ämnet, om det är kyrkokristendomen eller skolkristendomen, som är bäst</w:t>
        <w:br/>
        <w:br/>
        <w:t>för skolan. Men hvad jag däremot vill påstå, det är, att eforal- Om afinstitution i sin nuvarande form inte är ett naturligt led i den skaffande centraliserade läroverksstyrelse vi nu faktiskt ha; och det synes MA dfsRrr mig vara skäl nog för ett kraf på att få detta ändradt. vänket fill Af hvad jag anfört torde framgå, att jag icke, såsom uteforus. skottet förmenat, gjort mig skyldig till någon inkonsekvens, då jag å (Forts.) å ena sidan yrkar eforatens afskaffande, men å andra sidan framhåller det eventuella behofvet af lokala kontrollmyndigheter. Hvad jag velat säga är endast, att eventuelt behöfliga lokala myndigheter, eforer, inspektörer eller hvad de kallas, böra stå i en uttryckligen bestämd underordnad ställning till öfverstyrelsen med viss gifven befogenhet. Med en dylik anordning synes mig biskops själfskrifvenhet till denna befattning böra bortfalla. Därmed blir han naturligen inte afsatt som biskop, och om kyrkolagen ännu kan anses gälla i den punkten, att biskop skall i denna sin egenskap ha uppmärksambeten riktad på skolorna inom stiftet, så må ju den bestämmelsen gälla för hvad den kan, utan att biskopen därför bör vara själfskrifven till något särskildt ämbete i skolorganisatoriskt hänseende. Jag trodde, att den distinktionen läte sig göras utan misstydning, men då detta att döma af utskottets yttrande inte synes vara fallet, har jag naturligtvis ingenting emot att också ändra kyrkolagen, om så behöfves, i fråga om biskoparnas allmänna befattning med stiftets skolor. Utskottet afvisar slutligen min framställning äfven på den grund, att biskopen vid de allmänna läroverken har och bör ha samma ställning som kyrklig myndighet i fråga om folkskolan. Jag tillåter mig emellertid fästa uppmärksamheten på huru ohållbar denna jämförelse i själfva verket är. Beträffande folkskolan finnes ju nämligen den decentraliserade lokala administrationen ännu kvar under en kyrklig uppsikt med reala funktioner och med ett lagbestämdt kyrkligt inflytande ända ner i skolråden. Det är just en motsvarande ordning, som i fråga om de allmänna läroverken upphört i och med 1904 års skolreform och dess konsekvenser. I början af min framställning anmärkte jag och ber än en gång få understryka, att frågan om kyrkans inflytande på religionsundervisningen ingalunda står eller faller med eforalinstitutionen. Detta inflytande synes mig däremot böra söka sig fram på en annan väg, inte verka sporadiskt och ojämt allt efter de skilda biskoparnas olika uppfattning, inititiv och personliga auktoritet. Ett sträfvande i rätt riktning har vunnit erkännande i den granskningsnämd, som har att pröfva förslag till läroböcker i kristendom, och detta har t. o. m. från teologiskt håll ansetts som fullt tillräckligt. Ett annat sätt att tillgodose det kyrkliga intresset är, att vid öfverstyrelsens sammansättning hänsyn tages till att kristendomsundervisningen blir på behörigt sätt representerad och det får man väl anse, att den nuvarande regeringen</w:t>
        <w:br/>
        <w:br/>
        <w:t>Välfskrir. Till slut föranleder mig utskottets slututtalande till ännu en venhet till an Märkning. cc | | | eforus. Med det oriktiga citatet af mina yttranden nederst på sidan</w:t>
        <w:br/>
        <w:br/>
        <w:t>(Forts.) 5 i utskottsbetänkandet som utgångspunkt fortsätter utskottet på sidan 6 och säger, att jag icke »gittat styrka med någon min erfarenhet» det där som jag aldrig sagt. Det låter nästan som ett utslag, där käranden inte bara tappar målet, utan till på köpet får plikta för ohemul talan. Om nu utskottet med denna hårda dom vill säga, att jag inte dragit fram några exempel på fall, där de af mig antydda olägenheterna yppat sig, ber jag att i min ordning få svara, att jag velat undvika sådan bevisning, som till sitt värde må från olika personliga uppfattningar bedömas olika, men att jag ansett mig äga skäl att väcka och söka belysa det ifrågavarande spörsmålet från en rent principiell ståndpunkt; och min uppfattning om hvart principerna leda har jag sökt styrka.</w:t>
        <w:br/>
        <w:br/>
        <w:t>Jag ber, herr talman, att få yrka bifall till min motion.</w:t>
      </w:r>
    </w:p>
    <w:p>
      <w:pPr>
        <w:pStyle w:val="Heading2"/>
      </w:pPr>
      <w:r>
        <w:t>2. Teofron Säve (–, man)</w:t>
      </w:r>
    </w:p>
    <w:p>
      <w:r>
        <w:rPr>
          <w:b w:val="0"/>
        </w:rPr>
        <w:t>Herr vice talman! Föreliggande motion går, som kammaren förut funnit, ut på att fullständigt sekularisera de allmänna läroverken, d. v. s. upplösa det samband, som ännu i denna stund finnes mellan läroverken och kyrkan.</w:t>
        <w:br/>
        <w:br/>
        <w:t>Motionären har i motiveringen — mindre i det anförande vi nyss hört — framhållit såsom sitt egentliga skäl att genom den senaste skolstadgan och förordningen om läroverksöfverstyrelsen den befogenhet, som förr tillkom eforalstyrelserna, blifvit i så väsentlig grad reducerad, att hvad som nu återstår i själfva verket icke är annat än bagateller. Han har så till vida rätt, som den senaste läroverksreformen väsentligen kringskurit eforalstyrelgernas verksamhetsområden. Men jag ber att få fästa kammarens uppmärksamhet på, att den i detta hänseende gick vida längre än Riksdagen och särskildt Första kammaren kunde föreställa sig år 1904, då den lämnade sitt bifall till upprättandet af läroverksöfverstyrelsen. I Riksdagens skrifvelse om en öfverstyrelses införande yttrades det intet -— liksom det ej heller stod något sådant i Kungl. Maj:ts proposition — om att upprättandet af denna styrelse skulle innebära någon reduktion af eforalstyrelsernas befogenhet såsom lokalstyrelser för läroverken. Däremot framhölls i den Kungl. propositionen och äfven inom kamrarna, att meningen var, att domkapitlens befattning med läroverken skulle upphöra, naturligt nog, då fråga var att lägga lärarnes utnämning under Kungl. Maj:t, i stället för såsom dittills ägt rum under domkapitlen. Och jag vågar påstå, att hade här i kammaren någonting sagts från statsrådsbänken om att fråga var att reducera eforalstyrelsernas befogenhet såsom</w:t>
        <w:br/>
        <w:br/>
        <w:t>lokalstyrelser, så hade den knappa 6 rösters majoritet, som vanns Or afför bifall till Kungl. Maj:ts proposition om läroverksöfverstyrelsen, skaffande icke vunnits. Jag står icke ensam om den uppfattningen. Många ac ASKR andra hysa den här i kammaren förutom mig, och särskildt ber vänket fill jag att få framhålla, hvad den högt aktade skolmannen och f. d. eforus. ecklesiastikministern Gilljam yttrade härom vid dechargedebatten (Forts.) vid 1907 års riksdag. Herr Gilljams ord vägde tungt bland oss alla. Att jag nu ber att få citera hans yttrande beror därpå att jag vill hafva det till protokollet för dagens behandling af den föreliggande motionen. Hans ord föllo sig så: »Det var statsrådet von Friesens vunna kännedom om omöjligheten för ecklesiastikdepartementets afdelning för läroverksärenden att fullgöra de åligganden, som komme att följa med den nya läroverksorganisationen, hvilket förmådde honom att föreslå bildandet af denna öfverstyrelse. Jag hade samma uppfattning på grund af en icke så kort erfarenhet, och jag för min del bidrog därför i min mån till öfverstyrelsens upprättande. Jag hade därjämte en annan grund, som jag icke ansåg lämpligt att då under den allmänna förtjusningen anföra, nämligen att om den nya läroverksorganisationen icke skulle kunna infria alla de löften den gifvit eller tillfredsställa alla de förhoppningar, den hade väckt, vore det nödvändigt, att öfverstyrelsen, i öfverensstämmelse, med departementschefens kraf, komme till stånd, emedan ett Riksdagens beslut i motsatt riktning eljest skulle blifva den gifna förklaringsgrunden därtill, att man blef i någon mån besviken. Statsrådet von Friesen anförde under diskussionen i Första kammaren såsom sitt hufvudsakligaste argument, åtminstone var det den form, hvarunder han vädjade till kammaren —: »när Riksdagen gifvit mig skutan, må den icke neka mig besättningen». Tyda dylika uttalanden på en tanke eller plan på eforalstyrelsernas eller i allmänhet de lokala styrelsernas aflägsnande från all befattning med läroverkens angelägenheter? Jag vågar t. o. m. påstå, att hade något dylikt af departementschefen yttrats eller i föreliggande handlingar funnits anfördt, så hade i Första kammaren anslag icke beviljats till öfverstyrelsens upprättande.»</w:t>
        <w:br/>
        <w:br/>
        <w:t>Att af den omständigheten att eforalstyrelsernas befogenhet blifvit i mycket väsentlig grad minskad genom den nya skolstadgan och instruktionen för läroverksöfverstyrelsen draga den slutsatsen, att man skall fortgå på samma väg och totalt tillintetgöra eforalstyrelserna, d v. s. bryta sambandet mellan kyrka och skola, det är att gå för långt. Skulle man emellertid fatta ett beslut om eforalstyrelsernas afskaffande, skulle därmed enligt mitt förmenande den största skada tillfogas läroverken. I den kungl. propositionen till 1904 års Riksdag angafs såsom det hufvudsakligaste skälet för inrättande af en öfverstyrelse, att denna skulle öfvertaga och fullständiga den inspektion af de allmänna läroverken, som dittills ålegat läroverksbyråns chef inom eckle-</w:t>
        <w:br/>
        <w:br/>
        <w:t>att den gör.</w:t>
        <w:br/>
        <w:br/>
        <w:t xml:space="preserve">Men en annan sak är ännu viktigare, och det är, att vill man på fullt allvar sätta ifråga att borttaga eforalstyrelserna, då utkastar man ett nytt stridsämne till vårt folk till de många andra, som för närvarande uppröra det. Kort tid efter det den nyaläroverksstadgan och förordningen om öfverstyrelse och de nya lärokurserna och de metodiska anvisningar, som blefvo en följd af läroverksorganisationen, blefvo utfärdade, uppstod i landet en stor oro med anledning af farhågan, att kristendomsundervisningen vid de allmänna läroverken under de nya formerna icke skulle bli så tillgodosedd som de mera kyrkligt intresterade i vårt land fordrade. Denna oro tog sig uttryck särskildt på frikyrkligt håll, och i petitioner till Kungl. Maj:t från Svenska missionsförbundet och Evangeliska fosterlandsstiftelsen, bakom hvilka stodo hundratusentals svenska män och </w:t>
      </w:r>
      <w:r>
        <w:rPr>
          <w:b/>
        </w:rPr>
        <w:t>kvinnor¹</w:t>
      </w:r>
      <w:r>
        <w:rPr>
          <w:b w:val="0"/>
        </w:rPr>
        <w:t xml:space="preserve"> uttrycktes de varmaste önskningar, att Kungl. Maj:t skulle tillgodose deras kraf på bevarandet af en tillfredsställande kristendomsundervisning.</w:t>
        <w:br/>
        <w:br/>
        <w:t>Den ärade talaren anförde åtskilligt, som yttrats vid 1908 och 1909 årg kyrkomöten. Jag hade den äran att vara ledamot af båda dessa och vet mycket väl hvad som där passerade. Ati bland kyrkomötets medlemmar, hvilka alla hade kyrkans intressen för ögonen, frågan om eforalstyrelsernas ställning skulle komma under debatt, var uppenbart, icke därför att man: ville särskildt häfda eforernas maktställning, men därför att man ville</w:t>
        <w:br/>
        <w:br/>
        <w:t xml:space="preserve">bevara den position kyrkan hade i eforalstyrelserna för att </w:t>
      </w:r>
      <w:r>
        <w:rPr>
          <w:b/>
        </w:rPr>
        <w:t>hon²</w:t>
      </w:r>
      <w:r>
        <w:rPr>
          <w:b w:val="0"/>
        </w:rPr>
        <w:t xml:space="preserve"> Om afinom läroverken skulle kunna fullt betrygga kristendomsunderskaffande visningen. Vid 1908 års kyrkomöte fattades också beslut om en MER underdånig skrifvelse till Kungl. Maj:t, i hvilken Kungl. Maj:t 2 fill anmodades att sörja för att kristendomsundervisningensställning vid eforus. läroverken blefve fullt betryggad. Vid 1909 års kyrkomöte fram- (Forts) lades en motion från frikyrkligt håll, i hvilken man begärde, att den rättighet, som sedan länge tillkommit dissenters att taga sina barn från kristendomsundervisningen i skolan, också skulle till-. erkännas andra målsmän, när dessa funno, att kristendomsundervisningen leddes på ett sätt, som strede mot den evangelisklutherska reformationens hufvudprinciper och den apostoliska bekännelsen. Kyrkomötet afslog motionen, därför att det ansåg, att, så länge man ännu hade kvar eforalstyrelserna, man dock hade en garanti för att kristendomsundervisningen skulle ledas i öfverensstämmelse med vår kyrkas hufvudprinciper och bekännelse.</w:t>
        <w:br/>
        <w:br/>
        <w:t>. Emot hvad här framhållits af motionören i motiveringen till motionen vill äfven jag betona hvad det ärade lagutskottet framhållit, nämligen att det väl ändå icke är så litet, som eforerna hafva att säga. Motionären har själf erinrat om 24:de kapitlet kyrkolagen, där det stadgas, att biskoparna skola hafva &gt;uppsikt med skolor, så ock ungdomens upptuktelse efter skolordningen». Vidare har motionären erinrat om 201 $ i nådiga stadgan för rikets allmänna läroverk den 18 februari 1905, enligt hvilken det tillkommer eforus att hafva uppsikt öfver de allmänna läroverken i stiftet, och särskildt öfver det sätt, på hvilket kristendomsundervisningen vid dem handhafves, samt att för sådant ändamål besöka läroverken. Vidare är det så, att om lektorsoch adjunktstjänster skola tillsättas, hvari kristendom ingår såsom ämne, skall eforus hafva tillfälle afgifva yttrande. Nu frambhåller den ärade talaren, att detta icke har någon hbetydelse, ty öfverstyrelsen har att hålla sig till gällande lagbestämmelser, och något annat kan icke heller eforus göra. Ack, det finnes hos en verklig uppfostrare åtskilliga egenskaper, som man borde taga hänsyn till mer än de rena pappersmeriterna, och i synnerhet gäller detta kristendomsläraren, som har till speciell uppgift att verka för det unga släktets uppfostran till religlositet och sedlighet i högre grad än andra ämneslärare. Då vi ännu äro ett evangeliskt-lutherskt folk, ligger det då icke i gakens natur, att alla kyrkligt intresserade — och det är väl flertalet af svenska folket -— skola anse det vara en sak af yttersta vikt, att, huru än läroverken blifva organiserade, man icke bortser från deras viktigaste uppgift, som är att sörja för ungdomens etiska uppfostran?</w:t>
        <w:br/>
        <w:br/>
        <w:t>Det är anmärkningsvärdt, att en motion liknande den vid</w:t>
        <w:br/>
        <w:br/>
        <w:t>sista kyrkomötet jag nyss omnämnde äfven väcktes i Andra kam-</w:t>
        <w:br/>
        <w:br/>
        <w:t>denna kammare vill vara med om.</w:t>
        <w:br/>
        <w:br/>
        <w:t>Det finnes ännu en omständighet, som jag ber att få framhålla gent emot hvad den siste ärade talaren framhållit i sitt anförande. Han lade synnerligen vikt på, att läroverksorganisationen nu är afslutad och att läroverksöfverstyrelsen fått sina stadgade, bestämda former och att den nu kan i allt lugn fullfölja sitt utan all fråga gagnande arbete. Men hur vet han — och vi — om denna blott för några få år sedan genomförda lärovreksreform verkligen kommer att hålla måttet? Annu har ingen årsafdelning, som fått sin undervisning efter de nya formerna, förts så långt fram som till maturitetseller studentexamen. Det kommer att ske först denna vår, och det skall bli af intresse att höra den uppfattning, som årets censorer komma att göra sig med afseende på måttet af de nya maturisternas insikter jämfördt med deras insikter, som aflade maturitetsexamen före 1904 års stora reform. Men äfven om, såsom väl hvar och en önskar, som är angelägen om att det yngre släktet skall få så bra utbildning som möjligt, resultatet af årets studentexamina skulle blifva det bästa, får man dock ingen visshet om, huru den nya organisationen verkar, förrän en serie årgångar af maturister kommit upp till universiteten eller de högre fackskolorna och där blifvit i tillfälle visa om de teoretiska grunder de fått äro starka nog att uppbära de högre vetenskapliga studier, som dessa universitet och högre fackskolor hafva till uppgift att leda.</w:t>
        <w:br/>
        <w:br/>
        <w:t>Det är väl en naturlig sak, att när en så viktig, genomgripande reform som 1904 års läroverksreform, blifvit genomförd, man åtminstone ger sig till tåls några år, innan man rubbar den i en så viktig punkt som denna.</w:t>
        <w:br/>
        <w:br/>
        <w:t>I öfverensstämmelse med hvad jag sagt, ber jag att få yrka bifall till lagutskottets betänkande och afslag på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