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1131</w:t>
      </w:r>
    </w:p>
    <w:p>
      <w:r>
        <w:rPr>
          <w:b/>
        </w:rPr>
        <w:t xml:space="preserve">Datum: </w:t>
      </w:r>
      <w:r>
        <w:t>1910-03-13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Henning Gezelius von Scheele (–, man)</w:t>
      </w:r>
    </w:p>
    <w:p>
      <w:r>
        <w:rPr>
          <w:b w:val="0"/>
        </w:rPr>
        <w:t>Herr talman, mina herrar! Jag hade icke tänkt upptaga kammarens tid i år med något anförande i denna fråga, då jag förra året hade tillfälle att göra reda för min ställning till densamma; men det synes mig som om motionären, den förste talaren, icke hade blifvit bemött på den punkt, där i själfva verket hans bevisning sökte sin styrka, nervus probandi, som de lärde säga. Det har synts mig, såsom f. d. nniversitetslärare i religionshistoria och religionsfilosofi, orätt att låta klubban falla utan att ha visat lektor Starbäck den gärd af aktning, som ligger i att till bemötande upptaga hvad han helt visst har utaf öfvertygelse från sin ståndpunkt talat.</w:t>
        <w:br/>
        <w:br/>
        <w:t>Såvidt jag förstår, gör han gällande, att religion och religlositet äro ett och detsamma. Åt dessa bådas såväl åtskillnad som sammanhang har den af honom citerade Geijer gitvit ett förträffligt uttryck i de bekanta orden: »Utaf den kärlek, som går genom världen, föll ock en strimma in i min själ.» Å ena sidan möter oss i dessa ord Guds kärleks sol såsom den där gifver åt hela världen ljus och värme, å den andra de strimmor däraf, som lysa och värma de enskilda människornas själslif. Ty såsom den store tyske tänkaren och skalden uttrycker samma sak:» Wär' das Auge noch so rein, es kann die Sonne selbst nicht sein».</w:t>
        <w:br/>
        <w:br/>
        <w:t>Detta objektiva moment, som vi kalla för religion, till skillnad från det subjektiva momentet, som benämnes religiositet, tycktes mig af talaren snart sagdt helt och hållet förbigås, och likväl är det väl så, mina herrar, att det är på verkligheten i objektiv mening, som äfven på det religiösa området allt ytterst hvilar; hvaremot den evighet, som finnes nedlagd i hvarje människas hjärta, är och måste förblifva något sekundärt.</w:t>
        <w:br/>
        <w:br/>
        <w:t>Hvarifrån är det då, som allt religiöst lif på jorden får sin starkaste impuls? Eller hvarigenom är det, som detta för människan egendomliga anlag kommer till personligt förverkligande? Jo, närmast är det tvifvelsutan just hvad vi kalla för Guds he-</w:t>
        <w:br/>
        <w:br/>
        <w:t>liga ord, som förmedlar denna fostran och kommer oss att på Ang. ändrad ett själfmedvetet sätt förnimma vår delaktighet i en evig värld. Zydelse af Äga vi nu icke tillgång till någon sådan förmedling, finnes icke älväfflagen. för oss någon sådan Bifrost, något af den bro, som redan våra (Forts. fäder aningsfullt talade om såsom förbindande himmel och jord, hvarigenom deras längtan blifvit väckt efter hvad de kallade</w:t>
        <w:br/>
        <w:br/>
        <w:t>»det andra ljuset?» Jag är fastmer förvissad om, att den bron</w:t>
        <w:br/>
        <w:br/>
        <w:t>finnes kvar. Jag ansluter mig härvid till den store och mycket frisinnade religionsforskaren Max Möller, fordom professor vid</w:t>
        <w:br/>
        <w:br/>
        <w:t>det berömda universitetet i Oxford, och genom ett insändt manu-</w:t>
        <w:br/>
        <w:br/>
        <w:t>skript främste deltagare i den första religionsvetenskapliga världskongressen här i Stockholm 1897, hvars ordförande jag hade äran</w:t>
        <w:br/>
        <w:br/>
        <w:t>vara. Han säger — och, så vidt jag vet, därutinnan aldrig motsagd</w:t>
        <w:br/>
        <w:br/>
        <w:t>och ännu mindre vederlagd af någon sakkunnig på detta om-</w:t>
        <w:br/>
        <w:br/>
        <w:t>råde — det vara just kännetecknet på alla högre religionsformer,</w:t>
        <w:br/>
        <w:br/>
        <w:t>sådana, som ha kunnat göra anspråk på att bli världsreligioner,</w:t>
        <w:br/>
        <w:br/>
        <w:t>att de ha heliga skrifter med högre auktoritet, än den mänskliga öfverlägsenhet kan förläna, och i hvilka religionens läroimnehåll</w:t>
        <w:br/>
        <w:br/>
        <w:t>tagit den fastare, mer bestämda gestalt, som endast det skrifna</w:t>
        <w:br/>
        <w:br/>
        <w:t>ordet kan åt en viss lära såsom regulativ för lifvet gifva.</w:t>
        <w:br/>
        <w:br/>
        <w:t>Gå vi nu tillbaka ett steg längre, så måste, för att denna skrift, detta ord skall kunna betraktas såsom heligt, det ha sin källa i den Helige eller Gud. Det är väl icke skäl att här gå in på någon metafysisk utredning, hvarför det icke kan finnas något heligt utan ett personligt ursprung. Detta, föreställer jag mig, att vi alla utan undantag erkänna; och därmed mina herrar, kommer jag fram till hvad som utgör min bevisningsgruud för det, hvarmed jag vill bemöta den ärade motionären Här har gått en man öfver jorden, som lämnat efter sig spår, out; lånligare än någon annans, och den mannen kalla vi för Kristus, det är mänsklighetens smorde, emedan ingen är med honom jämförlig, och alla betrakta vi det såsom hedersnamn att efter honom få kallas kristna. Nu är det hans auktoritet, hvarpå vi säsom ett kristet folk bygga, och det är i hvad han genom sitt ord och hela sitt lif och sin död beseglat såsom gudomlig sanning, vi funnit denna brygga, som förbinder oss med Gud såsom vår fader. Nu är detta något, som ingen tänker sig kunna vara annorlunda. Men gå vi bara till hednafolken eller till dem, som kalla sig kristna men ha släppt Kristus såsom förmedlare af tron på Gud såsom vår fader jämte de historiska urkunder, som förmedla vår kännedom om den mannen, så skola vi märka, hurusom dessa befinna sig på ett gungfly. Visserligen kunna äfven de, så länge lifvet leker för dem och solen skiner på deras väg, tala om Guds fadersgodhet och visa ledning, men det gäller redan i lifvets pröfningar och ännu mer i dödens nöd — såsom vi präster ju ha tillfälle att erfara — att då blir det annat af. Då måste det finnas en auk-</w:t>
        <w:br/>
        <w:br/>
        <w:t>finna sig i ett inre trångmål, hvarvid de ingalunda kunna hänvisas till sitt eget religiösa medvetande, utan måste ha en verklig auktoritet, det vill — såsom de, hvilka ha reda på ordets etymologiska ursprung, väl veta — säga något som uppifrån lockar fram lifvets krafter ur jorden och kommer likasom solen på himlen, detta lif att växa, blomma och sätta frukt.</w:t>
        <w:br/>
        <w:br/>
        <w:t xml:space="preserve">Vi kunna icke undvara helig skrift. En vetenskaplig forskare sådan som Erik Gustaf Geijer och hans utomordentligt kritiske lärjunge Sigurd Ribbing framhålla detta med den allra största styrka; och bland teologerna har väl i Uppsala ingen gjort det med större eftertryck, än just den professor Myrberg, om hvilken från motsidan både i år och i fjol här talats. Huru skall man kunna gentemot sådana män ställa en Johannes Uddin, en ung man, som jag känner mycket väl, from och rättsinnad men utan vetenskaplig läggning och utan några grundligare kunskaper, framför allt utan den skolning, som inga studier och intet tänkande förmår allena gifva? Endast den, som bestått lifvets examensprof, är vittnesgill i denna vårt lifs största fråga. Det synes mig verkligen, att man lägger en bra lätt vikt på den vågskål, som skall väga upp vittnesbörden från det motsatta hållet, när man nöjer sig med en låt vara naturligt ädel, men helt visst andligt oerfaren ynglings ord. Dessutom ber jag få fästa uppmärksamheten på något, som motionären likaledes förbisett, nämligen att äfven den subjektiva faktorn innebär någonting annat och mera, än hvad han gjorde af den och hvad folk i allmänhet gör af den. Man talar om den religiösa känslan, som om </w:t>
      </w:r>
      <w:r>
        <w:rPr>
          <w:b/>
        </w:rPr>
        <w:t>hon²</w:t>
      </w:r>
      <w:r>
        <w:rPr>
          <w:b w:val="0"/>
        </w:rPr>
        <w:t xml:space="preserve"> vore identisk med religiositet, men det är visst icke händelsen.</w:t>
        <w:br/>
        <w:br/>
        <w:t>Människan har tre själsförmögenheter: förstånd, vilja och känsla, och så viktig känslan än må vara, är den ingalunda det enda och ej heller det väsentligaste, utan hvad jag med mitt förstånd inser och fattar såsom sant och hvad jag med min vilja bestämmer mig för såsom rätt, det måste med hänsyn till mitt själslif betyda ännu mera än mina känslor. Det är den ena observationen, som jag vill göra med hänsyn till ofullständigheten i motionärens uppfattning af religiositeten eller den sub- Jektiva sidan i vårt religiösa förhållande.</w:t>
        <w:br/>
        <w:br/>
        <w:t xml:space="preserve">Den andra — och det är icke mindre viktigt, men vanligen kanske ännu mer åsidosatt — är, att vi måste komma ihåg, att människan äfven på det religiösa området ingalunda står allena, utan att </w:t>
      </w:r>
      <w:r>
        <w:rPr>
          <w:b/>
        </w:rPr>
        <w:t>hon²</w:t>
      </w:r>
      <w:r>
        <w:rPr>
          <w:b w:val="0"/>
        </w:rPr>
        <w:t xml:space="preserve"> utgör en del af mänskligheten, icke blott i sin vidaste omfattning, utan fattad koncentriskt, således i mindre, sig vidgande kretsar. Det är detta, som gör, att vi höra till en viss familj, ett visst folk, en viss kyrka, o. s. v. Just samfundsförhållandena, som ha sin första och viktigaste typ i familjen, men jämväl bero på nationalitet och kyrklig gemenskap med religiöst likasinnade, ha stor betydelse för den enskilde. Därför, mina</w:t>
        <w:br/>
        <w:br/>
        <w:t xml:space="preserve">herrar, är det också ett bål, på hvilket man lägger en verkligt Ang. ändrad gudfruktig och troende människa, när man på hånfullt sätt be- Fara fs handlar heliga ting, som icke blott för </w:t>
      </w:r>
      <w:r>
        <w:rPr>
          <w:b/>
        </w:rPr>
        <w:t>henne²</w:t>
      </w:r>
      <w:r>
        <w:rPr>
          <w:b w:val="0"/>
        </w:rPr>
        <w:t xml:space="preserve"> själf, utan äfven strafflagen. för det samfund, som </w:t>
      </w:r>
      <w:r>
        <w:rPr>
          <w:b/>
        </w:rPr>
        <w:t>hon²</w:t>
      </w:r>
      <w:r>
        <w:rPr>
          <w:b w:val="0"/>
        </w:rPr>
        <w:t xml:space="preserve"> tillhör och älskar, utgöra något vik- (Forts.) tigare och större än det lekamliga lifvet. Därför har ej heller</w:t>
        <w:br/>
        <w:br/>
        <w:t>enligt min öfvertygelse — och härmed vänder jag mig mot den siste</w:t>
        <w:br/>
        <w:br/>
        <w:t>ärade talaren på stockholmsbänken — sanningen i sin abstrakta</w:t>
        <w:br/>
        <w:br/>
        <w:t>eller individuella form en så obetingad rätt, att man kan försvara</w:t>
        <w:br/>
        <w:br/>
        <w:t>allt slags muntligt eller skriftligt uppträdande i världen med att</w:t>
        <w:br/>
        <w:br/>
        <w:t>man afsett att tala sanning. Försynthet och aktgifvande på and-</w:t>
        <w:br/>
        <w:br/>
        <w:t>ras behof måtte väl ändå ha något att betyda. Jag bör väl låta</w:t>
        <w:br/>
        <w:br/>
        <w:t>det sätt, hvarpå jag har att häfda hvad som för mig är sant, i</w:t>
        <w:br/>
        <w:br/>
        <w:t>någon mån bestämmas med hänsyn till hvad andra därvidlag</w:t>
        <w:br/>
        <w:br/>
        <w:t>skola icke blott ytligt, utan djupt känna, såsom någon här nyss</w:t>
        <w:br/>
        <w:br/>
        <w:t xml:space="preserve">sade, liksom man känner vid minnet af sin </w:t>
      </w:r>
      <w:r>
        <w:rPr>
          <w:b/>
        </w:rPr>
        <w:t>moder²</w:t>
      </w:r>
      <w:r>
        <w:rPr>
          <w:b w:val="0"/>
        </w:rPr>
        <w:t>. Att det då</w:t>
        <w:br/>
        <w:br/>
        <w:t>kan kännas påkostande, när någon på sätt, som skett, talat om</w:t>
        <w:br/>
        <w:br/>
        <w:t xml:space="preserve">Jesu </w:t>
      </w:r>
      <w:r>
        <w:rPr>
          <w:b/>
        </w:rPr>
        <w:t>moder²</w:t>
      </w:r>
      <w:r>
        <w:rPr>
          <w:b w:val="0"/>
        </w:rPr>
        <w:t>, det må väl icke förundra någon, som verkligen har</w:t>
        <w:br/>
        <w:br/>
        <w:t>personlig erfarenhet på detta område, och därmed kommer jag</w:t>
        <w:br/>
        <w:br/>
        <w:t>till mitt slutord.</w:t>
        <w:br/>
        <w:br/>
        <w:t>Det kan ju låta anspråksfullt, och måste förefalla motbjudande, då någon bär fram liksom på en presenterbricka sin bekännelse såsom kristen. Den som onödigtvis kommer med dylikt tal, han må finna sig i att blifva tillrättavisad. Det andliga plan, hvarpå i allmänhet kan och bör förhandlas människor emellan, är icke den personliga kristendomens, utan hederns. Ty det enda man har rätt att af hvar och en begära är, att det skall vara en hederlig människa. Men i vissa fall, såsom i det föreliggande fallet, fordras tillika gemensam lifserfarenhet och därpå grundad personlig öfvertygelse, för att förhandlingen skall blifva fruktbar. Här förslår icke att känna något om den värld, hvarom frågan är, man måste ömsesidigt vara något hemmastadd z den världen för att kunna till verkligt gagn utbyta tankar. Detta och ingalunda i första rummet intellektuell begåfning och stor både teologisk och allmänmänsklig lärdom var det, som gjorde Martin Luthers insats i den religiösa kulturhistorien så betydelsefull. Till honom ber jag få såsom en hans lärjunge hänvisa.</w:t>
        <w:br/>
        <w:br/>
        <w:t>Utan vidare motivering anhåller jag, herr talman, få yrka bifall till utskottets hemställan. .</w:t>
      </w:r>
    </w:p>
    <w:p>
      <w:pPr>
        <w:pStyle w:val="Heading2"/>
      </w:pPr>
      <w:r>
        <w:t>2. Johan Norlen (Liberala samlingspartiet, man)</w:t>
      </w:r>
    </w:p>
    <w:p>
      <w:r>
        <w:rPr>
          <w:b w:val="0"/>
        </w:rPr>
        <w:t>Herr talman! Det var egentligen med anledning af herr Brantings yttrande, som jag här begärde ordet. Det är, enligt min mening, en himmelsvid skillnad på vetenskaplig kritik och hädelse, i det att denna senare endast utgör ett bevis på inneboende råhet och fräckhet, som på det sättet eöker sig utlopp. Så vidt jag kan finna, har emellertid icke här bevisats, att saklig vetenskaplig kritik äfven på detta område skulle genom våra nuvarande lagar vara förbjuden. Nej, det är mot hädelsen i</w:t>
        <w:br/>
        <w:br/>
        <w:t>personer, som tillåta sig att uppträda med något dylikt, äro fina och nobla karaktärer, därom skall jag icke inlåta mig på någon diskussion. Men jag undrar ändock, om det icke ligger i statens intresse att genom lagstiftning skydda sina medborgare mot det förråande inflytande, som sådan hädelse, hvarom vi här tala, enligt all erfarenhet ovillkorligen utöfvar. Skulle det verkligen vara med statens intresse förenligt att, så att säga, öppna slussportarna för all möjlig råhet, smuts och elände, som vill söka sig en väg ut? Vi se ju redan spår af ett sådant arbete ibland stora ungdomsskaror i vårt land. Jag kan icke tänka mig, att det skulle vara önskvärdt att nu än ytterligare befordra en sådan trafik, och hvad skulle den för öfrigt egentligen gagpa till?</w:t>
        <w:br/>
        <w:br/>
        <w:t>Man säger, att man här vänder sig endast mot de härskande dogmerna, och herr Branting påpekade, då det var tal om de religiösa känslorna, att dessa intimt sammanhänga med vidskepelse. Ja, det kan i många fall vara sant, men frågan blir, om denna vidskepelse verkligen motarbetas på det sätt, som herr Branting synes vilja rekommendera, nämligen genom att lämna frihet åt uppträdande under dylika råa former. Jag tillåter mig betvifla detta. På alla områden har hittills i vårt land mycken vidskepelse bortarbetats, men det har icke skett på det sätt, som man i detta fall vill använda, utan genom ett sansadt, sakrikt upplysningsarbete, och på den vägen böra vi fortgå — det är icke förbjudet i vår nuvarande lagstiftning. Det är just mot råheten vi böra vända oss, ty vi anse icke, att vi ha något behof af den för uppfostringsarbetet bland vårt folk.</w:t>
        <w:br/>
        <w:br/>
        <w:t>Det har här sagts, att man endast vill vända sig mot de härskande dogmerna. Ja, äfven det uttrycket tror jag har blifvit en dogm. Med dogm menar man ju en trossats, och herr Lindhagen slöt ju sitt yttrande med att säga: Bort med alla dogmer, hvarhelst de än finnas! Men därmed har han erkänt, att dogmer finnas icke blott på det religiösa området, utan äfven på många andra håll, och det är nog riktigt. Jag undrar, om det icke finnes till exempel lika många dogmer på det naturvetenskapliga området som på det teologiska, fastän de i det förra fallet kallas hypoteser. En hypotes är ju en sats, som är i sig själf obevisad, men som man ställt upp och fast tror på, och om man icke får bygga på den, så ramlar mycket annat. Jag undrar, om icke många af de vackra teorier, med hvilka herr Lindhagen kommit fram, skulle ohjälpligen ramla, om han icke finge bygga på dogmer. Nej, det är nog icke den saken, som det här egentligen gäller, utan, såsom jag påpekat, gäller frågan, huruvida man skall öppna fria utvägar för all möjlig råhet, som finnes och som man vet söker arbeta sig fram. Jag anser för min del, att vi icke ha något behof af att öppna sådana vägar, och därför har</w:t>
        <w:br/>
        <w:br/>
        <w:t>jag framställt det yrkande, som jag här förut gjort, hvilket yr- Ang. ändrad</w:t>
        <w:br/>
        <w:br/>
        <w:t>kande jag, herr talman, ber att fortfarande få vidhålla. lydelse af 7 kap. 1$</w:t>
        <w:br/>
        <w:br/>
        <w:t>yttra mig någon mer gång i denna debatt, och jag har också en lång stund vidhållit detta mitt beslut, då debatten här sannerligen icke varit ägnad att inbjuda till något vidare meningsutbyte eller då det, rättare sagdt, väl knappast kan blifva tal om något sådant här. De, som visat sig såsom motståndare till de synpunkter, jag tillåtit mig framhålla i mitt första anförande, ha, efter hvad jag med mina förståndsgåfvor kunnat finna, omsorgsfullt undvikit både i stort sedt och äfven i detalj att ingå på hvad jag här yttrade. De ha nu en gång sin tro för sig, jag vill icke gifva den något visst epitet, men den synes orubblig och deras förnuft i dessa ting oemottagligt för sakskäl; därför blir också ett meningsutbyte omöjligt.</w:t>
        <w:br/>
        <w:br/>
        <w:t>Det har emellertid inträffat ett par saker, som göra, att jag icke vill iakttaga den tystnadens vältalighet, som eljest kanske vore klädsammast. Jag ber då först att få sysselsätta mig med den senaste talaren. Han har en högst förträfflig, men för mig högst besynnerlig uppfattning om vetenskap. Han yttrade bland annat, att en professor en gång sagt: »Vetenskapen skolen I aldrig lita pål» Ja, jag kan vara med om en sådan uppfattning, dock med en mycket stor modifikation. Om herr Norlén ger sig ut i en segelbåt på hafvet eller vistas t. ex. uppe i fjällvidderna, tror jag nog, att herr Norlén har sin bibel med sig och läser i den, men jag tror äfven, att han har med sig en kompass, och jag tror verligen, att om det inte är stjärnklart eller solen lyser, så att han till följd däraf kan bedöma väderstrecken, han tager upp sin kompass och tittar på den, samtidigt som han läser sina böner. Han påstod äfven, att dogmer skulle finnas också inom naturvetenskaperna, fastän de där kallas för hypoteser. Jag skall verkligen vara herr Norlén utomordentligt tacksam, om vi således få säga, att en dogm icke är någon trossats, som är en gång för alla fastslagen, utan att en dogm är något, som kan rubbas och jämkas, såsom vi ständigt göra med de vetenskapliga hypoteserna. Det var ett af de värdefullaste bidrag från frikyrkligt håll, som vi under diskussionen erhållit; och jag är tacksam att få konstatera detsamma.</w:t>
        <w:br/>
        <w:br/>
        <w:t>Den egentliga orsaken till att jag begärde ordet var emellertid ett yttrande af biskop von Schéele; och jag vill, i anslutning till dels hvad han sade och dels äfven andra, speciellt den siste ärade talaren, yttrat, verkligen säga, att det är för märkvärdigt, hvad uppfattningen om råhet och om cynism är växlande.</w:t>
        <w:br/>
        <w:br/>
        <w:t>Jag skall strax komma till ett särskildt för herr Räf afsedt litet exempel. Men nu skall jag, till tjänst för dem som anse, att Wicksells yttrande var något så förfärligt, påpeka, att ingen</w:t>
        <w:br/>
        <w:br/>
        <w:t>har hörts öfverallt, att det var någonting så förskräckligt, att han måste i fängelse för det. Är ej detta något ohyggligt! Det finnes ett par representanter för den officiella polisen på ett föredrag, och de få den uppfattningen, att talaren yttrar någonting så förskräckligt, att de måste anmäla honom; och så dömes han till fängelse. Sedan sprides det utöfver hela landet, att han yttrat någonting alldeles förfärligt; men de flesta hafva ingen aning om hvad han sagt, mer än hvad tidningarna berätta.</w:t>
        <w:br/>
        <w:br/>
        <w:t>Men det finnes en annan auktoritet, som heter professor Quennerstedt i Lund, hvilken tagit sig före att naturvetenskapligt, fysiologiskt försöka att bevisa jnngfru Marias obefläckade aflelse. Han gör det på det viset, att han söker att jämföra denna för så många människor ytterst viktiga, centrala trossats med sjöborrars och maskrosors apogami eller parthenogenesis. Jag får verkligen säga, att då jag först läste detta, kände jag mig upprörd — icke såsom naturvetenskapsman, ty ur denna synpunkt verkade professor Quennerstedts uppsats på mig enbart löjlig — men å deras vägnar, som här verkligen blifvit sårade i sina heligaste känslor; och något värre har jag för min del aldrig varit med om, aldrig tänkt mig. Sådant måtte väl, om något, vara råhet.</w:t>
        <w:br/>
        <w:br/>
        <w:t>Men, som sagdt, uppfattningen växlar så mycket; om hvad som menas med råhet och om hvad som är cyniskt; och tiderna växla äfven i öfrigt, herr biskop von Schéele, som nu citerade Geijer ett par gånger. Ja, jag tillåter mig att göra det en gång till. Den vers, som biskop von Schéele använde, är allenast slutet af en dikt, hvars början lyder så här:</w:t>
        <w:br/>
        <w:br/>
        <w:t>&gt;Ensam jag skrider fram på min bana, längre och längre sträcker sig vägen; ack, uti fjärran döljes mitt mål.</w:t>
        <w:br/>
        <w:br/>
        <w:t>Dagen sig sänker. Nattlig blir rymden. Snart blott de eviga stjärnor jag ser;»</w:t>
        <w:br/>
        <w:br/>
        <w:t>och så slutar det:</w:t>
        <w:br/>
        <w:br/>
        <w:t>»Men jag ej klagar flyende dagen,</w:t>
        <w:br/>
        <w:br/>
        <w:t>ej mig förfärar stundande natten;</w:t>
        <w:br/>
        <w:br/>
        <w:t>ty af den kärlek, som går genom världen, föll ock en strimma in i min själ».</w:t>
        <w:br/>
        <w:br/>
        <w:t>Men när skref Geijer detta? Jo, han skref det för så vidt jag vet efter sitt »affall&gt;, då han kände sig ensam i den bräckliga farkosten, då han var öfvergifven af sina närmaste vänner, då han var exkommunicerad af universitetssocieteten till följd af några, såsom det nu förekommer oss, högst menlösa kätterier. Då skref han detta; och jag vågar nästan påstå, att detta citat passar bättre tillsammans med mitt resonemang än med biskop von BSchéeles. Och hur har det gått? Jo, Geijers staty står nu</w:t>
        <w:br/>
        <w:br/>
        <w:t>upprest framför universitetshuset i Uppsala, där står han ju bred- Ang. ändrad axlad och bredbent; och så åberopas han såsom en auktoritet för fs 54 intoleransen! Jag vågar bestrida, att han är en för det syftet strafflagen: lämplig auktoritet. (Forts.)</w:t>
        <w:br/>
        <w:br/>
        <w:t>Jag skulle, herr talman, verkligen varit synnerligen glad, om icke min antagonist på smålandsbänken hade fört in detta resonemang på ett rätt personligt gebit. Men eftersom han gjort det, vill jag, på grund af en liten passus i hans anförande, icke underlåta att bemöta en sak. Han sade, att protokollen äro så besvärliga, ty de bevara åt en häpnande eftervärld hvad som här yttrats. Må så vara; men för att denna eftervärld icke skall bli alltför häpen, så måste jag bemöta ett yttrande af herr Räf. Ty om kommande historieforskare skulle finna detta yttrande obemött, och om de skulle bedöma Andra kammarens ställning i kulturella frågor här i landet år 1910 allenast efter detta yttrande, så skulle de häpna ännu mer.</w:t>
        <w:br/>
        <w:br/>
        <w:t>Herr Räf talade här om, att en hel mängd vänstertidningar öfverbjudit hvarandra i råhet och cynism för att försöka att undandraga vårt folk det egentliga fotfästet för alla dygder, hvilket ligger särskildt i bibehållande af de här straffbestämmelserna. Jag skulle vilja fråga herr Räf, om icke en af de dygder, som anses vara särskildt kristliga, äfven af honom, är den att tala sanning.</w:t>
        <w:br/>
        <w:br/>
        <w:t>Jag har haft anledning att några gånger intressera mig för hvad som står i en tidning, som heter Svenska Morgonbladet. Jag minnes, hurusom förra året, då den här frågan var före, tidningen med en stor gest utropade: »Det gör ingenting, om Starbäck kommer; ty dogmerna stå sig nog, huru punschsprängd den än är, som trampar på dem.» Det är ju smakfullt; det är ju ett nobelt epitet, som ett tu tre användes för att göra en motståndare i en sakfråga så ful som möjligt.</w:t>
        <w:br/>
        <w:br/>
        <w:t xml:space="preserve">För öfrigt, apropå det där om punschen, kan jag, herr talman, icke neka mig nöjet att, fastän det är på förmiddagen, ett ögonblick uppehålla mig vid den saken. Detta är ett tal, som Svenska Morgonbladet och dess meningsfränder understundom användt om mig, liksom om mitt förhållande till punschen skulle hafva något afgörande inflytande på Riksdagens ställning till den här frågan. Jag kan icke neka till att jag därvid kommit att tänka på, huru man understundom gjorde, då man var gymnasist. Herr talmannen och äfven andra medlemmar af kammaren hafva nog varit i samma predikament, som jag då var. Jag flammade då för en vacker </w:t>
      </w:r>
      <w:r>
        <w:rPr>
          <w:b/>
        </w:rPr>
        <w:t>dam²</w:t>
      </w:r>
      <w:r>
        <w:rPr>
          <w:b w:val="0"/>
        </w:rPr>
        <w:t xml:space="preserve">, som emellertid var så fjärran från mig, att jag aldrig hade tillfälle att träffa </w:t>
      </w:r>
      <w:r>
        <w:rPr>
          <w:b/>
        </w:rPr>
        <w:t>henne²</w:t>
      </w:r>
      <w:r>
        <w:rPr>
          <w:b w:val="0"/>
        </w:rPr>
        <w:t xml:space="preserve">; men för att bafva åtminstone någon trefnad af detta, skref jag åter och återigen </w:t>
      </w:r>
      <w:r>
        <w:rPr>
          <w:b/>
        </w:rPr>
        <w:t>hennes²</w:t>
      </w:r>
      <w:r>
        <w:rPr>
          <w:b w:val="0"/>
        </w:rPr>
        <w:t xml:space="preserve"> namn. På samma sätt förefaller det mig, att de här skribenterna ställa sig gent emot punschen: de få icke dricka den; men det är så roligt att få skrifva »punschl!»</w:t>
        <w:br/>
        <w:br/>
        <w:t xml:space="preserve">I alla fall är detta ett litet belysande exempel på deras stridsmetoder; och här har jag ännu ett sådant exempel. Jag vill icke tala om, att min person numera anses så beskaffad, att jag icke bör släppas in i missionshus. Det är en sak, som jag icke förvånar mig öfver; och för öfrigt, missionsföreningarna hafva ju rättighet att använda sina lokaler som de vilja. Men med anledning af ett sådant fall skrifver Svenska Morgonbladet: »Och vi tro, att man i alla frikyrkliga kretsar skall vara så tämligen ense därom, att dessas samlingslokaler icke böra förvandlas till talaretribuner åt personer, som cyniskt afhåna en från missionshåll gjord framställning om rätt för </w:t>
      </w:r>
      <w:r>
        <w:rPr>
          <w:b/>
        </w:rPr>
        <w:t>lärarinnor³</w:t>
      </w:r>
      <w:r>
        <w:rPr>
          <w:b w:val="0"/>
        </w:rPr>
        <w:t xml:space="preserve"> åt kristna missionärers barn att räkna tjänsteår och, ännu mer, som i riksdagsmotioner söka »bevisa, att — Kristus icke existerat.»</w:t>
        <w:br/>
        <w:br/>
        <w:t>Ja, kanske en stor del af herrarna erinra sig den debatt, som här ägde rum i fråga om bidrag till en folkskollärarinna, som skulle undervisa vissa missionärers barn. Jag hemställer till herrarna, och jag vågar hänvisa herr Räf till de besvärliga protokollen, om det fanns den minsta cynism i det anförande, som jag då höll. Jag vågar bestämdt påstå motsatsen; och denna senare passus i detta organ Svenska Morgonbladet förklarar jag vara en absolut medveten lögn. Ty den, som läst motionen, kan omöjligt påstå, att jag där försöker att bevisa, att Jesus icke existerat. Jag endast konstaterar, att vetenskapen sysselsätter sig med detta problem; men jag intager icke någon som helst ståndpunkt i frågan. Jag tycker verkligen, att man skall icke kasta sten på andra, då man själf sitter i glashus.</w:t>
        <w:br/>
        <w:br/>
        <w:t>Slutligen och då jag, trots biskop von Schéeles motsatta mening, tror att den här unge prästmannen Uddin är något att fästa sig vid, kommer jag att finna mig nödsakad att citera ännu en liten passus af honom. Jag vill dessförinnan blott erinra om, att jag icke anfört honom såsom någon auktoritet vare sig mot Geijer eller Myrberg. Jag har bara begagnat mig af citat från båda hållen. Denne unge prästman konstaterar hvad dogmatismen kan åstadkomma. »Vidare&gt;», säger han, »dogmatismen dödar ödmjukheten&gt;»; och på tal om vår tids fariséer, yttrar han:</w:t>
        <w:br/>
        <w:br/>
        <w:t>&gt;De hafva lagt uppgiften för sig ännu enklare till rätta. De hålla blott dogmerna sanna; — och i nödfall kan hvar och en skapa sin egen dogm och däromkring samla en egen sekt, ännu gudligare än någon annan. Uppgiften har förenklats, men högmodet, skrymtaktigheten, själftillräckligheten är densamma som under den judiska dogmatismens glansdagar. Äfven de, som mest öfverljudt ropa ut sin öfvermåttan stora syndighet och ovärdighet och; sin frälsning genom Kristus allena, akta sig dock ypperlig än alla andra. De förstå att i sin tro på nåden och i själfva sin förkrosselse och syndkänsla finna en orsak till själfförhäfvelse. Och till sist, i högmodets och själfgodhetens mark uppspirar fanatismens giftiga ört. De rättrogna hafva icke blott</w:t>
        <w:br/>
        <w:br/>
        <w:t>himmelens nycklar att därmed öppna åt sig själfva. De hafva Ang. ändrad</w:t>
        <w:br/>
        <w:br/>
        <w:t>anledning af representantens för Sundsvall yttrande om att ungdomen genom obehörig agitation fördes in på förvillelsens område. Det där agitationsarbetet skötes ju midt under hädelseparagrafens bestånd. Om sålunda, trots denna paragraf, det bedrifves en sådan agitation, som han antydde, då borde vi väl, om vi skola följa hans tankegång, till hädelseparagrafen skaffa oss jämväl hjul och stegel, det synes mig blifva konsekvensen af herr Norléns sträfvande.</w:t>
        <w:br/>
        <w:br/>
        <w:t>Herr Carlson i Herrljunga sade, att bibehållandet af hädelseparagrafen egentligen vore den bästa garantien för de kulturella framstegen. Ja, skall hans uppfattning vara uttrycket för de kulturella sträfvandena i Herrljunga, då tycker jag, det är synd om de människor, som äro dömda att lefva i denna trakt af riket; och det får jag säga, att vill man ställa sig upp i Riksdagens Andra kammare och tala för att hädelseparagrafen skall bibehållas för att därmed stödja det kulturella arbetet, då börjar jag tvifla på att vi befinna oss i det tjugonde århundradet. År det verkligen herrarnas mening, att religionen och tillförsikten till den skola upprätthållas genom sådana paragrafer som denna, hvarför då ej taga steget fullt ut och återgå till den spanska inkvisitionen? De som fortfarande tro, att en brutal behandling af &gt;kättare» är ägnad att hos de djupa lagren af folket skapa en brinnande och lefvande tro i religiösa ting, de böra återställa den gamla goda tiden.</w:t>
        <w:br/>
        <w:br/>
        <w:t>Herr Räf, sade, att om vi ur hädelseparagrafen taga bort uttrycket »Guds heliga ord», då skola vi få se på, hvilken agitation som sedan komme att bedrifvas. Ja, det är just meningen, och hvad ondt skulle ligga däri?</w:t>
        <w:br/>
        <w:br/>
        <w:t>Vi som icke tro på hädelseparagrafens välsignelse och den religion, som stöder sig på denna, vi ha väl rätt att föra fram en afvikande mening. Visserligen söka herrarna bestrida oss den rätten, men vi få väl ändå föra våra uppfattningar till torgs, äfven om vi komma att stämplas som missdådare. Jag förstår ej, hvilken ståndpunkt de herrar intaga, som å ena sidan säga, att hädelseparagrafen gör intet som hälst gagn, »tvärtom, skadar den den religiösa propagandan, och det egentliga religiösa lifvet»; men å andra sidan när Ni se att denna paragraf löper fara att borteskamoteras ur lagtexten, blir det en panisk förskräckelse i hela sällskapet och I ropen i korus: »Nej, för Guds skull, låt oss behålla denna paragraf, ty den är dock något att ha mot råheten»&gt;, som herr Norlén sade, och till skydd för de religiösa känslorna, som någon annan uttryckte sig. Min uppfattning är, att råheten förminskas icke och långt mindre afskaffar man densamma ge-</w:t>
        <w:br/>
        <w:br/>
        <w:t>den religion, som skall stödjas med dylika medel, uppammar råheten och är ägnad att hålla folket nere i den djupaste okunnighet, en omständighet som andra samhällsklasser med sin öfverlägsna intelligens begagnar sig af till ekonomiskt förvärf, och då herr Räf särskildt betonar högerpartiernas religionsskyddande verksamhet, kan ifrågasättas, om detta partinit hvilar på religiösa eller ideella bevekelsegrunder. Det ligger nära till hands antaga, att tanken på ränteberäkningar tagits med såsom en bestämmande faktor i kampen för hädelseparagrafens bibehållande, tillsammans med en del andra lagparagrafer hvilka, ytterst afse att befästa ränteutdelningen åt de maktägande i samhället. Jag yrkar bifall till herr Lindhagens reservation.</w:t>
      </w:r>
    </w:p>
    <w:p>
      <w:pPr>
        <w:pStyle w:val="Heading2"/>
      </w:pPr>
      <w:r>
        <w:t>3. Robert Johansson Dahr (Liberala samlingspartiet, man)</w:t>
      </w:r>
    </w:p>
    <w:p>
      <w:r>
        <w:rPr>
          <w:b w:val="0"/>
        </w:rPr>
        <w:t>Herr talman! Jag har tidigare under denna diskussion instämt med herr Widén och vill därför icke vidare yttra mig beträffande själfva saken. Men då här har försökts att göra politik af denna fråga, kan jag icke underlåta att inlägga en gensaga mot sådant. Här har gjorts gällande, att när man går med på förslag, som åsyfta större frihet i afseende å religionen, gör man sig i själfva verket skyldig till ett angrepp mot religionen och undergräfver man grundvalarna för den. Och då det är vänstern, som företrädesvis stöder sådana förslag, så vill man alltså beteckna vänstern som religionsfientlig.</w:t>
        <w:br/>
        <w:br/>
        <w:t>Jag kan icke låta bli att påpeka, hvilken oriktig tankegång som ligger under dylika yttranden. Oriktigheten ligger däri, att man i kristendomens väsen inbegriper äfven hvad som alls icke hör dit, nämligen detaljerna i den samhälleliga lagstiftningen. Vi veta, att för 60 eller mindre än 60 år tillbaka var här i landet det s. k. konventikelplakatet gällande, i hvilket stadgades fängelsestraff och böter för den, som utöfvade religionen på annat sätt än det i landets lagar föreskrifna. På den tiden hörde också konventikelplakatet till det, som man icke fick röra vid utan att af de konservativa bli stämplad som en religionens fiende. Nu är visserligen konventikelplakatet längesedan upphäfdt, men naturligtvis ha vi icke därmed fått allting bra, utan ännu finnes det bestämmelser, som äro föråldrade och behöfva förändras och förbättras. Men alltjämt möter man den tankegången, att alla sträfvanden, som åsyfta att på detta område rubba eller ändra det bestående, äro religionsfientliga. En sådan tankegång måste vi frisinnade protestera emot, ty det ligger i sakens natur, att vi måste försöka komma framåt, annars förtjäna vi ju icke vårt namn. Konservatismen däremot framträder just däri, att man icke vill röra vid något bestående, äfven om det är föråldradt och otidsenligt. När konventikelplakatet existerade, var detta något, som icke fick rubbas. Nu är det borta, men det är i stället</w:t>
        <w:br/>
        <w:br/>
        <w:t>fråga om andra bestämmelser, som icke äro lämpade för vår tids 4ng. ändrad förhållanden och åskådningssätt. Samma visa sjunges då. De jue ” äro alla religionens fiender, som vilja vara med om att ändra gälrat ägen lande bestämmelser i detta afseende. Till den grad är man bun- — (Forts) den af en sådan tankegång, att till och med strafflagens para</w:t>
        <w:br/>
        <w:br/>
        <w:t>grafer i sin nuvarande formulering räknas till det för religionen väsentliga; uttalar man sympatier för ändringar i sådant, stämp-</w:t>
        <w:br/>
        <w:br/>
        <w:t>las man som irreligiös. Det är icke endast i Riksdagen som så-</w:t>
        <w:br/>
        <w:br/>
        <w:t>dana försök göras; äfven uti bygderna sker det 1 dessa dagar på</w:t>
        <w:br/>
        <w:br/>
        <w:t>en del platser. Jag känner väl till det.</w:t>
        <w:br/>
        <w:br/>
        <w:t>Men, mina herrar, då man beskyller de frisinnade för att vara irreligiösa, därför att de i ett och annat fall vilja vara med om ändringar i förefintliga lagstadganden, som röra religionen, och när man stämplar deras tidningar såsom samt och synnerligen religionsfientliga därför att de uttala sig i sådan riktning, då använder man på dessa ting en oriktig måttstock. För min del älskar jag kristendomen och vill göra allt för att främja densamma. Men jag vill också vara med om att förbättra lagstiftningen och afskaffa föråldrade lagbestämmelser. TI förevarande fall kan jag icke vara med om ett bifall till herr Starbäcks motion, men jag kan, såsom framgår af mitt instämmande med herr Widén, vara med om en annan formulering af den ifrågavarande strafflagsparagrafen. Och jag måste protestera emot att en sådan uppfattning betecknas som irreligiös eller farlig för religionen. Öfverhufvud taget får man ej bedöma en persons eller ett partis ställning till religionen enbart efter dess åsikter och meningar rörande ting, som icke höra till religionens väsen. Vill man här ha en riktig och tillförlitlig måttstock, så bör man gå till gärningarna. Kan någon påstå, att högern i detta land är mer rättfärdig i handel och vandel än vänstern, att det inom högern förekommer ett mindre antal försnillningar, ett mindre antal bedrägerier o. s. v. och att vänstern alltså är moraliskt sämre än högern, då följer däraf också, att vänstern står kristendomens väsen mera fjärran och är mindre religiös än högern. Men vill någon här verkligen påstå något sådant? Vi taga på oss inom det frisinnade lägret, att vi vilja förbättra och därför också förändra en del bestämmelser i vår lagstiftning, men vi tillbakavisa bestämdt, att vi därför skulle vara kristendomens fiender. Vill man döma öfver oss i det afseendet, så må man undersöka vårt lefverne och se till, huru det är med vår handel och vandel. Finner man därvid, att vi i detta afseende stå lägre i genomsnitt taget än andra politiska partier, då må man klandra oss såsom mindre religiösa, men icke därför att vi ha afvikande meningar i ett eller annat afseende i fråga om samhällelig lagstiftning i allmänhet eller om enskilda paragrafer i strafflagen.</w:t>
        <w:br/>
        <w:br/>
        <w:t>Jag har velat uttala detta, ty det bar upprört mig, att man både vid detta och vid andra tillfällen dömt öfver de frisinnades</w:t>
        <w:br/>
        <w:br/>
        <w:t>utan efter de meningar, som de vågat uttala rörande ofta rent periferiska detaljer af vårt samhällsskick.</w:t>
      </w:r>
    </w:p>
    <w:p>
      <w:pPr>
        <w:pStyle w:val="Heading2"/>
      </w:pPr>
      <w:r>
        <w:t>4. Knut Henning Gezelius von Scheele (–, man)</w:t>
      </w:r>
    </w:p>
    <w:p>
      <w:r>
        <w:rPr>
          <w:b w:val="0"/>
        </w:rPr>
        <w:t>Jag tackar motionären att han gaf mig svarsordet på samma gång som han vände sig mot mig med sitt anförande. Naturligtvis är mig väl bekant äfven början af den vers, hvars slutstrofer jag citerade. Men motionären känner nog också till ett närbesläktadt uttryck af Geijers själslif just från den brytningstid, han hade att genomkämpa. Hur är det skalden sjunger?</w:t>
        <w:br/>
        <w:br/>
        <w:t>»Ensam i bräcklig farkost vågar seglaren sig på det vida haf».</w:t>
        <w:br/>
        <w:br/>
        <w:t>Han förklarar sålunda den farkost vara bräcklig, i hvilken han ger sig ut, då han lämnat traditionens landfäste; ty, såsom herr Starbäck lika väl som jag vet, var det under själfva krisen, som denna sköna sång diktades. I en sådan öfvergångstid måste det kännas just så, som de af motionären anförda orden uttrycka. Annorlunda är det både förut och efteråt; både förut och efteråt måste människan ha ett fäste utom sig själf, vare sig nu att detta fäste heter tradition, kyrka, påfve eller — Gud. Det är därför också, som Geijer i omedelbart samband med sin klagan öfver, hur svag och allena han kände sig vid denna lösgörelse, bekänner, att för att våga göra en sådan brytning, som innebär släppande af fästet vid det förflutna, fordras att draga en ofantlig växel på det tillkommande. »Men framtiden», tillägger han, »står i Guds hand; ett sådant släkte måste tro på Gud och endast på honom.» Jag hänvisar herr Starbäck till det nyss utkomna förträffliga arbetet om Erik Gustaf Geijer åren före »affallet&gt; af d:r Hilma Borelius, hvari just fästes uppmärksamheten på dessa förhållanden.</w:t>
        <w:br/>
        <w:br/>
        <w:t xml:space="preserve">- Jag har själf en gång i bokstaflig bemärkelse varit ute i en bräcklig farkost, då det gällde att öfver Atlanten färdas till ett annat slags ny värld. Hafvet var starkt upprördt. När då en af medpassagerarna vände sig till styrmannen ombord och med darrande stämma frågade, hvad han trodde, svarade den duktige sjöbussen med en min af förakt och i en ton, som jag skulle vara glad att kunna återge, ty den innebar kanske ännu mer än själfva orden: »Jag tror på Gud Fader allsmäktig, himmelens och jordens skapare». Den andre lommade af såsom en, jag höll på att säga, våt hund. Då kände jag, mer än någonsin, hvilket värde i lifvet och ännu mer inför döden minnet af en bekännelse, hvilken man i barndomen lärt, för människan har, hvilken </w:t>
      </w:r>
      <w:r>
        <w:rPr>
          <w:b/>
        </w:rPr>
        <w:t>hennes²</w:t>
      </w:r>
      <w:r>
        <w:rPr>
          <w:b w:val="0"/>
        </w:rPr>
        <w:t xml:space="preserve"> bildningsgrad än må vara; och tron mig, mina herrar, vi kunna icke förvandla människonaturen. Vi kunna icke ändra de sykologiska lagarne, utan, ifall vi borttaga det religiösa land-</w:t>
        <w:br/>
        <w:br/>
        <w:t>fäste, som protestantismen, den evangeliska protestantismen i Guds Ang. ändrad heliga ord gifvit oss, söker sig vårt folk ett annat stöd för sin a &gt; tro och torde till sist hamna i — Rom. Sådan är den Nya värl- Itra flag dens erfarenhet. Måtte det icke jämväl blifva vår! (Forts.)</w:t>
        <w:br/>
        <w:br/>
        <w:t>Jag ber, herr talman, fortfarande få yrka bifall till utskot- | 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