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1150</w:t>
      </w:r>
    </w:p>
    <w:p>
      <w:r>
        <w:rPr>
          <w:b/>
        </w:rPr>
        <w:t xml:space="preserve">Datum: </w:t>
      </w:r>
      <w:r>
        <w:t>1910-05-13</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Elof Lindström (Lantmanna- och borgarepartiet inom andrakammaren, man)</w:t>
      </w:r>
    </w:p>
    <w:p>
      <w:r>
        <w:rPr>
          <w:b w:val="0"/>
        </w:rPr>
        <w:t>Herr talman, mina herrar! Utan att göra någon som helst framställning vill jag likväl yttra några ord rörande den nu föreliggande frågan, därtill uppkallad af en passus i den föregående ärade talarens anförande. Han sade, att skälen, hvarför utskottet nu icke tillstyrkt detta anslag, äro desamma, som motiverade Riksdagens afslag i fjol. Jag ber att ou få nämna, huru det nu egentligen förhåller sig med den saken.</w:t>
        <w:br/>
        <w:br/>
        <w:t>Förra året begärde Kungl. Maj:t 60,000 kronor till den nybyggnad, hvarom här är fråga. Hvad sade Riksdagen då? Jo, Riksdagen sade, att vederbörande myndigheter icke äro ense om beböfligheten af denna bostad för öfverläkaren, i det att nämligen medicinalstyrelsen är emot saken. Det är det första. För det andra sade Riksdagen, att den beräknade kostnaden var något för hög och att densamma borde prutas ned. Sedan Riksdagen sagt detta, så tillade den, att den tyckte, att med denna byggnadsfråga kunde tills vidare anstå.</w:t>
        <w:br/>
        <w:br/>
        <w:t>Nu ha emellertid myndigheterna yttrat följande: Det första skäl, som Riksdagen förra året anförde, nämligen att myndigheterna voro oense, är nu borta, ty medicinalstyrelsen har för sin del tillstyrkt förslaget; det andra skälet, som Riksdagen anförde förra gången, nämligen att det var för dyrt, ba vi undanröjt: vi ha nämligen prutat</w:t>
        <w:br/>
        <w:br/>
        <w:t>bdarnbörds- Och säga: Vi ha sagt, under hvilka förhållanden vi vilja bevilja detta</w:t>
        <w:br/>
        <w:br/>
        <w:t>huset. — anslag, dessa betingelser förefinnas nu, och hvarför framlägger icke</w:t>
        <w:br/>
        <w:br/>
        <w:t>Afslås nu propositionen, måste man tänka sig ettdera af dessa två alternativ: antingen angaf icke Riksdagen förra året alla skäl, hvarför den afslog det då föreliggande förslaget, eller också har Riksdagen ändrat mening sedan förlidet år. Det var detta, jag ville säga den föregående ärade talaren.</w:t>
        <w:br/>
        <w:br/>
        <w:t xml:space="preserve">länge </w:t>
      </w:r>
      <w:r>
        <w:rPr>
          <w:b/>
        </w:rPr>
        <w:t>hon²</w:t>
      </w:r>
      <w:r>
        <w:rPr>
          <w:b w:val="0"/>
        </w:rPr>
        <w:t xml:space="preserve"> lefde ogift, dels ock Myhrmans </w:t>
      </w:r>
      <w:r>
        <w:rPr>
          <w:b/>
        </w:rPr>
        <w:t>dotter²</w:t>
      </w:r>
      <w:r>
        <w:rPr>
          <w:b w:val="0"/>
        </w:rPr>
        <w:t xml:space="preserve"> Karin Elisa Kristina</w:t>
        <w:br/>
        <w:br/>
        <w:t>myndig ålder eller trädde i äktenskap eller kunde själf försörja sig.</w:t>
      </w:r>
    </w:p>
    <w:p>
      <w:pPr>
        <w:pStyle w:val="Heading2"/>
      </w:pPr>
      <w:r>
        <w:t>2. August Pettersson (Lantmannapartiet, man)</w:t>
      </w:r>
    </w:p>
    <w:p>
      <w:r>
        <w:rPr>
          <w:b w:val="0"/>
        </w:rPr>
        <w:t>Herr talman, mina herrar! I den föreliggande motionen har jag tillåtit mig anhålla om understöd</w:t>
        <w:br/>
        <w:br/>
        <w:t xml:space="preserve">Denna motion har statsutskottet afstyrkt och detta på grund af principiella skäl. Mot detta kan ju icke något vara att invända. Utan tvifvel har statsutskottet rätt i, att man på principiella grunder icke kan påyrka ett dylikt understöd. Jag tror dock, att statsutskottet gör sig skyldigt till öfverdrift, när det säger, att ett bifall till denna framställning skulle innebära ett mycket betänkligt prejudikat. Ty icke är det väl ofta, som det kan tänkas inträffa, att man begär pension åt den efterlefvande </w:t>
      </w:r>
      <w:r>
        <w:rPr>
          <w:b/>
        </w:rPr>
        <w:t>änkan²</w:t>
      </w:r>
      <w:r>
        <w:rPr>
          <w:b w:val="0"/>
        </w:rPr>
        <w:t xml:space="preserve"> efter en person, som varit med vid statens järnvägsbyggnader från deras första början, och icke heller är det väl ofta, som man, såsom i detta fall till stöd för framställningen kan åberopa en tjänstetid å sammanlagdt 43 år. För öfrigt finnes det »prejudikat&gt; på, att Riksdagens Andra kammare visserligen icke ofta, men dock emellanåt i sådana fall som detta icke hållit så hårdt på principen, utan låtit barmhärtighetens stämma tala.</w:t>
        <w:br/>
        <w:br/>
        <w:t>Jag tillåter mig, herr talman, att anhålla om bifall till motionen.</w:t>
        <w:br/>
        <w:br/>
        <w:t>därefter kom han åter till järnvägen — han hade då varit borta i 7 å 8 år — och bad om, att han skulle få någon sysselsättning ijärn-</w:t>
        <w:br/>
        <w:br/>
        <w:t>vägsstyrelsen. Järnvägsstyrelsen förbarmade sig öfver honom och gaf honom hemarbete med uträkning af taxor och sådant, och den första tiden hade han 1,200 kronor om året, sedan ökades detta till 1,300 kronor och under de senare åren hade han 2,400 kronor eller 200 kronor i månaden. Han afled 86 år gammal. Man kan för den skull icke säga annat, än att ban icke varit berättigad till pension</w:t>
      </w:r>
    </w:p>
    <w:p>
      <w:pPr>
        <w:pStyle w:val="Heading2"/>
      </w:pPr>
      <w:r>
        <w:t>3. Axel Rune (Frisinnade folkpartiet, man)</w:t>
      </w:r>
    </w:p>
    <w:p>
      <w:r>
        <w:rPr>
          <w:b w:val="0"/>
        </w:rPr>
        <w:t>Herr talman! Det är ju fullkomligt riktigt, såsom här yttras, att utskottet haft principiella skäl för sitt afslagsyrkande i förevarande fall. Det är också riktigt, att denne man, Justus Myhrman, icke själt varit berättigad till pension, om man skall se saken strängt formellt. Men det har nog inträffat både en och många gånger, att kammaren, af om jag så får säga, barmbärtighet beviljat pension i liknande fall, och särskildt torde detta ha inträffat rätt ofta I sådana fall, där man icke ansett, att konsekvensen däraf vore särskildt farlig.</w:t>
        <w:br/>
        <w:br/>
        <w:t>Nu anser jag för min del, att det här rör sig just om ett sådant fall, där man icke af hänsyn till svåra konsekvenser behöfver draga sig för att öfva barmhärtighet. Det är nog icke många personer, som så länge arbetat i statens eller åtminstone i järnvägens tjänst, som denne man. Han var ju med från järnvägsbyggets början och bar sammanlagdt arbetat i järnvägens tjänst i 46 år. Han hade likväl haft en ordinarie tjänst, som var af den vikt, att den redan på den tiden, det vill säga redan 1863—73, aflönades med 3,000 kronor per år. Han lämnade emellertid för en kortare tid denna sin tjänst, men fick därpå återigen anställning hos statens järnvägar. Det yttrades nyss om, af en talare, att det var »af förbarmande» som järnvägsstyrelsen lät honom få arbete. Ja, jag känner för min del icke något närmare till, buru det förhåller sig med den saken, men jag föreställer mig, att järnvägsstyrelsen icke lämnat denne person arbete, utan att han verkligen kunde fullgöra detsamma, och jag har desto större anledning att antaga detta, som hans lön från att först ha varit 100 kronor i månaden sedermera höjdes till 150 och slutligen till 200 kronor i månaden.</w:t>
        <w:br/>
        <w:br/>
        <w:t xml:space="preserve">Det är nog många af denna kammares ledamöter, som varit med om sådana fall, där man anser sig vara pliktig att på grund af principskäl afslå hvarje framställning om pension af detta slag, under det att ens barmhärtighetskänslor upprest sig mot, att man skall vara tvungen att rösta i sådan riktoing. Här föreligger dock, så vidt jag kan förstå, ett fall, där man utan några svåra konsekvenser kan öfva barmhärtighet mot </w:t>
      </w:r>
      <w:r>
        <w:rPr>
          <w:b/>
        </w:rPr>
        <w:t>änkan²</w:t>
      </w:r>
      <w:r>
        <w:rPr>
          <w:b w:val="0"/>
        </w:rPr>
        <w:t xml:space="preserve"> och </w:t>
      </w:r>
      <w:r>
        <w:rPr>
          <w:b/>
        </w:rPr>
        <w:t>dottern²</w:t>
      </w:r>
      <w:r>
        <w:rPr>
          <w:b w:val="0"/>
        </w:rPr>
        <w:t xml:space="preserve"> till en man, som dock under 46 års tid arbetat i statens järnvägars tjänst.</w:t>
        <w:br/>
        <w:br/>
        <w:t>Herr talman! Jag ber att få tillstyrka bifall till motionen.</w:t>
        <w:br/>
        <w:br/>
        <w:t>Herr Thor: Herr talman! Jag skall då endast be att kammaren ville</w:t>
        <w:br/>
        <w:br/>
        <w:t xml:space="preserve">besluta i enlighet med utskottets utlåtande och således afslå motionen. Det kan ju alltid ta kammaren, när man talar om barmhärtighet, och i synnerbet kan man säga om denna </w:t>
      </w:r>
      <w:r>
        <w:rPr>
          <w:b/>
        </w:rPr>
        <w:t>änka²</w:t>
      </w:r>
      <w:r>
        <w:rPr>
          <w:b w:val="0"/>
        </w:rPr>
        <w:t xml:space="preserve"> och </w:t>
      </w:r>
      <w:r>
        <w:rPr>
          <w:b/>
        </w:rPr>
        <w:t>hennes²</w:t>
      </w:r>
      <w:r>
        <w:rPr>
          <w:b w:val="0"/>
        </w:rPr>
        <w:t xml:space="preserve"> barn, att de behöfva ett litet understöd, men jag tror ändå, att kammaren aldrig förut beviljat en pension, som det varit så litet grond för. Mannen har, såsom framgår af betänkandet, endast tjänat järnvägsstyrelsen i 15 år, och det är så länge sedan som en 30, 40 år. Sedan hade han endast haft hemarbete. Den siste talaren sade nu, att han icke trodde, att det var något särskildt barmbärtighetsverk af järnvägsstyrelsen, att han fått detta arbete. Men då mannen, såsom vi veta, var 86 år gammal och, såsom den förste ärade talaren sade, hans </w:t>
      </w:r>
      <w:r>
        <w:rPr>
          <w:b/>
        </w:rPr>
        <w:t>hustru²</w:t>
      </w:r>
      <w:r>
        <w:rPr>
          <w:b w:val="0"/>
        </w:rPr>
        <w:t xml:space="preserve"> på senare tiden skött hemarbetet, men han ändå uppbar 200 kronor i månaden för detta arbete, så är det mycket sannolikt, att Jjärnvägsstyrelsen velat gifva mannen en liten hjälp. Så mycket mindre anser jag då, att Riksdagen bör bevilja pension i detta fall. Konsekvenserna däraf äro nog sädana, att om pensionen beviljas, så vet jag knappast något fall, där man icke skulle kunna komma in till Riksdagen och begära pension för </w:t>
      </w:r>
      <w:r>
        <w:rPr>
          <w:b/>
        </w:rPr>
        <w:t>änka²</w:t>
      </w:r>
      <w:r>
        <w:rPr>
          <w:b w:val="0"/>
        </w:rPr>
        <w:t xml:space="preserve"> och barn.</w:t>
        <w:br/>
        <w:br/>
        <w:t>Jag ber att få yrka birall till utskottets förslag.</w:t>
      </w:r>
    </w:p>
    <w:p>
      <w:pPr>
        <w:pStyle w:val="Heading2"/>
      </w:pPr>
      <w:r>
        <w:t>4. Jakob Pettersson (Liberala riksdagspartiet, man)</w:t>
      </w:r>
    </w:p>
    <w:p>
      <w:r>
        <w:rPr>
          <w:b w:val="0"/>
        </w:rPr>
        <w:t xml:space="preserve">Det är väl ändå litet för mycket att såsom den siste talaren säga, att om denna pension beviljas, skulle hvem som helst kunna komma in med begäran om pension. Såsom redan blifvit nämndt, hade ju dock revisorn Justus Myhrman i öfver 40 år arbetat i det allmännas tjänst, och det är väl icke hvem som helst, som kan andraga en sådan grund för sin ansökan. Och äfven om det kunde vara sant, att det var en tjänst, som Järnvägsstyrelsen gjorde honom genom att låta honom utföra hemarbete för det statistiska kontorets räkning, får detta icke betraktas uteslutande såsom gjordt af barmhärtighet, ty det lär väl vara ostridigt att Myhrman fick gifva valuta för den betalning han uppbar, lät vara, att den valutan under allra sista tiden af hans lefnad måste presteras af </w:t>
      </w:r>
      <w:r>
        <w:rPr>
          <w:b/>
        </w:rPr>
        <w:t>hustrun²</w:t>
      </w:r>
      <w:r>
        <w:rPr>
          <w:b w:val="0"/>
        </w:rPr>
        <w:t>.</w:t>
        <w:br/>
        <w:br/>
        <w:t>Jag kan fortfarande icke finna, att ett bifall till motionen skulle vara något så exempellöst eller vara något så särdeles farligt med hänsyn till sina konsekvenser. När särskildt herr Sjö håller på att konsekvenserna i detta fall äro farliga och att man alltid måste hålla strängt på principerna, är det med uppriktigt nöje jag erinrar herr Sjö om, att det verkligen inträffat, åtminstone en gång, att herr Sjö förordadt ett dylikt understöd, oaktadt det stred mot principerna. Jag vill naturligtvis icke säga, att det af mig nu åsyftade fallet var alldeles likartadt med det nu föreliggande, men det gällde dock en ansökan om ett understöd, som herr Sjö förordade, oaktadt han erkände, att det stod i strid med principerna. Det var vid det tillfället fråga om ett understöd åt en f. d. godsägare Sandberg, som blifvit misshandlad af en frigifven lifstidsfånge. Det fanns icke någon laglig grund för honom att erhålla understöd af statsmedel, men det väcktes motion om saken, och när frågan 'därom var före i Andra kammaren, förordade just herr Sjö beviljande af understöd ät f. d. godsägaren Sandberg, och därvid yttrade herr Sjö bland annat följande:</w:t>
        <w:br/>
        <w:br/>
        <w:t>&gt;Jag medger visserligen, att detta är en s. k. principfråga och en ganska vådlig sådan, det gäller nämligen den principen, huruvida</w:t>
        <w:br/>
        <w:br/>
        <w:t>I. Myhrmans anslag i dylikt syfte skall beviljas på framställning af enskild motioän :</w:t>
        <w:br/>
        <w:br/>
        <w:t>när. Men då vi förut många gånger gjort undantag från principen att i något fall bevilja anslag, tror jag, att det icke är vådligare att nu göra det&gt;.</w:t>
        <w:br/>
        <w:br/>
        <w:t>För min del anser jag nu, att det länder herr Sjö till heder, att han verkligen kunnat frångå principerna, när starka billighetsskäl talat för beviljande af ett understöd. Såvidt jag kan finna, föreligga äfven här synnerligen starka billighetsskäl för understödets beviljande, och därför anhåller jag att få vidhålla mitt yrkande om bifall till motionen.</w:t>
      </w:r>
    </w:p>
    <w:p>
      <w:pPr>
        <w:pStyle w:val="Heading2"/>
      </w:pPr>
      <w:r>
        <w:t>5. Erik Nilson (Liberala riksdagspartiet, man)</w:t>
      </w:r>
    </w:p>
    <w:p>
      <w:r>
        <w:rPr>
          <w:b w:val="0"/>
        </w:rPr>
        <w:t xml:space="preserve">Ja, mina herrar, nog anser jag, att kammaren bör understundom låta billighetsskälen tala, men jag måste likväl säga, att i detta fall resa sig så starka principiella betänkligheter, att huru mycket, jag än ömmar för denna </w:t>
      </w:r>
      <w:r>
        <w:rPr>
          <w:b/>
        </w:rPr>
        <w:t>änka²</w:t>
      </w:r>
      <w:r>
        <w:rPr>
          <w:b w:val="0"/>
        </w:rPr>
        <w:t xml:space="preserve"> och </w:t>
      </w:r>
      <w:r>
        <w:rPr>
          <w:b/>
        </w:rPr>
        <w:t>hennes²</w:t>
      </w:r>
      <w:r>
        <w:rPr>
          <w:b w:val="0"/>
        </w:rPr>
        <w:t xml:space="preserve"> </w:t>
      </w:r>
      <w:r>
        <w:rPr>
          <w:b/>
        </w:rPr>
        <w:t>dotter²</w:t>
      </w:r>
      <w:r>
        <w:rPr>
          <w:b w:val="0"/>
        </w:rPr>
        <w:t>, kan jag det oaktadt icke vara med om hvad herr Pettersson i Södertelje här föreslagit.</w:t>
        <w:br/>
        <w:br/>
        <w:t xml:space="preserve">Jag ber att få fästa kammarens uppmärksamhet jämväl på det förhållandet, att herr Pettersson föreslagit, att </w:t>
      </w:r>
      <w:r>
        <w:rPr>
          <w:b/>
        </w:rPr>
        <w:t>dottern²</w:t>
      </w:r>
      <w:r>
        <w:rPr>
          <w:b w:val="0"/>
        </w:rPr>
        <w:t xml:space="preserve"> skulle få åtnjuta detta understöd å 100 kronor, »till dess </w:t>
      </w:r>
      <w:r>
        <w:rPr>
          <w:b/>
        </w:rPr>
        <w:t>hon²</w:t>
      </w:r>
      <w:r>
        <w:rPr>
          <w:b w:val="0"/>
        </w:rPr>
        <w:t xml:space="preserve">», såsom det stär, »uppnår myndig ålder eller träder i äktenskap eller kan själf försörja sig.&gt; Jag antager, att herr Pettersson därmed egentligen menar »&gt;till dess </w:t>
      </w:r>
      <w:r>
        <w:rPr>
          <w:b/>
        </w:rPr>
        <w:t>hon²</w:t>
      </w:r>
      <w:r>
        <w:rPr>
          <w:b w:val="0"/>
        </w:rPr>
        <w:t xml:space="preserve"> uppnår myndig ålder eller dessförinnan träder i äktenskap eller kan själf försörja sig», så att understödet i hvarje fall skulle upphöra, när </w:t>
      </w:r>
      <w:r>
        <w:rPr>
          <w:b/>
        </w:rPr>
        <w:t>hon²</w:t>
      </w:r>
      <w:r>
        <w:rPr>
          <w:b w:val="0"/>
        </w:rPr>
        <w:t xml:space="preserve"> uppnår myndig ålder, men så är det ingalunda skrifvet här.</w:t>
        <w:br/>
        <w:br/>
        <w:t xml:space="preserve">Dessutom anhåller jag att få fästa kammarens uppmärksamhet därpå, att vi ha visserligen flera gånger beviljat understöd åt oförsörjda barn, men då har åldersgränsen alltid satts antingen till 15 eller 18 år. Här har nu emellertid motiovären föreslagit, att gränsen skulle sättas till 21 år, ja, den kan eventuellt skjutas fram än längre, nämligen ända till dess </w:t>
      </w:r>
      <w:r>
        <w:rPr>
          <w:b/>
        </w:rPr>
        <w:t>hon²</w:t>
      </w:r>
      <w:r>
        <w:rPr>
          <w:b w:val="0"/>
        </w:rPr>
        <w:t xml:space="preserve"> själf kan försörja sig.</w:t>
        <w:br/>
        <w:br/>
        <w:t>Ordalagen iäro här så sväfvande, att jag anser det vara omöjligt att bifalla hvad motionären i detta fall hemställt, och jag kan fördenskull icke annat än yrka bifall till utskottets hemställan om afslag å motionen.</w:t>
        <w:br/>
        <w:br/>
        <w:t>Jag anser mig, när motionärer nu framkommit med detta, böra berätta, hvarför anslaget den gången beviljades. Saken var ju den, att denne man — hans namn var Sandberg — fick 1,000 kronor såsom ersättning för en skada han hade lidit. Sakens sammanhang var följande. En fästningsfånge, som var dömd på lifstid, hade af Konungen benådats efter det han hade varit i fängelse i några och</w:t>
        <w:br/>
        <w:br/>
        <w:t>tjugu år. Sandberg träffade denne f. d. fästningsfånge tillsammans med en annan person, och Sandberg ville ha reda på hvad det var för personer, ty Sandberg var kommunalnämndens ordförande och det tillhörde honom att se till, att inga sådana luffare fingo drifva, utan han skulle ha reda på, hvad det var för människor, som gingo så där sysslolösa, då man kunde befara, att de hade dåliga afsikter. Fästningsfången blef elak och svarade snäft, och då säger Sandberg till honom: var så god och sitt upp i min vagn och följ med mig hem, så jag får se Edra papper. Han vägrade göra detta, men slutligen fann han för godt att stiga upp i vagnen, men hade icke väl hunnit upp och vagnen satts i gång förrän han tog upp en stor knif och mättade åt Sandbergs hals, men denne väjde undan och fick i stället knifven i armen ända till benet. Denna väldsåtgärd blet till stort men för denne Sandberg, och i det fallet ansåg jag, att när Kungl. Maj:t släppt ut en så vådlig person, som skadat denne Sandberg så illa, att han sedermera icke kunde försörja sig på sätt önskvärdt vore, borde han ha ersättning för detta synnerligast som hans ekonomi nu var dälig. Det gick icke på annat sätt in att Riksdagen då fick träda emellan. Här är icke något sådant fall, utan ett helt och hållet annat fall, och jag vågar påstå, att om Riksdagen beviljar den pension, som nu är föreslagen, blir det en farlig princip.</w:t>
        <w:br/>
        <w:br/>
        <w:t xml:space="preserve">Här bar sagts af en talare, nämligen min ärade vän Rune, att denne Myhrman varit i tjänst hos järnvägsstyrelsen öfver 40 år, och att det därför vore skäl att, när han nu bortgått, bevilja hans efterlämnade </w:t>
      </w:r>
      <w:r>
        <w:rPr>
          <w:b/>
        </w:rPr>
        <w:t>änka²</w:t>
      </w:r>
      <w:r>
        <w:rPr>
          <w:b w:val="0"/>
        </w:rPr>
        <w:t xml:space="preserve"> och </w:t>
      </w:r>
      <w:r>
        <w:rPr>
          <w:b/>
        </w:rPr>
        <w:t>dotter²</w:t>
      </w:r>
      <w:r>
        <w:rPr>
          <w:b w:val="0"/>
        </w:rPr>
        <w:t xml:space="preserve"> pension, men jag ber herr Rune vara så god och tänka på saken och se på, hvad motionären omnämnt. Då är det visserligen i 18 år han varit i tjänst och sedan har han varit borta, men fick, som jag nämnt, af barmhärtighetsskäl arbete i sitt hem. Han har fått 2,400 kronor under den sista tiden, och tager man i betraktande hvad arbete en 86 års man i allmänhet kan utföra torde väl litet hvar fiona, att det var af barmhärtighetsskäl som järnvägsstyrelsen gifvit honom så väl det ena som det andra. När så är, kan jag icke finna, att Riksdagen är skyldig att i detta fall bevilja en sådan pension.</w:t>
      </w:r>
    </w:p>
    <w:p>
      <w:pPr>
        <w:pStyle w:val="Heading2"/>
      </w:pPr>
      <w:r>
        <w:t>6. August Pettersson (Lantmannapartiet, man)</w:t>
      </w:r>
    </w:p>
    <w:p>
      <w:r>
        <w:rPr>
          <w:b w:val="0"/>
        </w:rPr>
        <w:t xml:space="preserve">Jag vill endast gent emot herr Nilson i Örebro säga, att såsom förslaget är affattadt, kan man icke gifva det den tolkning som han tycktes vilja göra gällande, nämligen att understödet till nu'ifrägavarande myndling skulle utgå, äfven efter det </w:t>
      </w:r>
      <w:r>
        <w:rPr>
          <w:b/>
        </w:rPr>
        <w:t>hon²</w:t>
      </w:r>
      <w:r>
        <w:rPr>
          <w:b w:val="0"/>
        </w:rPr>
        <w:t xml:space="preserve"> uppnått myndig ålder, för den händelse </w:t>
      </w:r>
      <w:r>
        <w:rPr>
          <w:b/>
        </w:rPr>
        <w:t>hon²</w:t>
      </w:r>
      <w:r>
        <w:rPr>
          <w:b w:val="0"/>
        </w:rPr>
        <w:t xml:space="preserve"> icke skulle kunna försörja sig själf eller ej trädt i äktenskap. Det föreslås nämligen, att understödet skulle utgå »till dess </w:t>
      </w:r>
      <w:r>
        <w:rPr>
          <w:b/>
        </w:rPr>
        <w:t>hon²</w:t>
      </w:r>
      <w:r>
        <w:rPr>
          <w:b w:val="0"/>
        </w:rPr>
        <w:t xml:space="preserve"> uppnår myndig ålder eller träder i äktenskap eller kan själf försörja sig». +D. v. s., det ifrågasättes tre alternativa slutpunkter för understödets utgående; så snart någon af dessa eventuella slutpunkter inträder, skulle följaktligen enligt motionen understödet upphöra. Den af dessa eventualiteter, som först inträffar skulle således medföra en sådan verkan; och den af herr Nilson framställda tolkningen af motionen är oriktig.</w:t>
        <w:br/>
        <w:br/>
        <w:t>Då det emellertid af samme talare sattes i fråga, att det skulle vara särdeles obilligt, att detta understöd skulle utgå, till dess att</w:t>
        <w:br/>
        <w:br/>
        <w:t xml:space="preserve">Om årliga </w:t>
      </w:r>
      <w:r>
        <w:rPr>
          <w:b/>
        </w:rPr>
        <w:t>flickan²</w:t>
      </w:r>
      <w:r>
        <w:rPr>
          <w:b w:val="0"/>
        </w:rPr>
        <w:t xml:space="preserve"> i fråga uppnått 21 års ålder, skall jag tillåta mig modifiera</w:t>
        <w:br/>
        <w:br/>
        <w:t xml:space="preserve">CE mitt yrkande och hemställa, att understödet måtte utgå, »till dess </w:t>
      </w:r>
      <w:r>
        <w:rPr>
          <w:b/>
        </w:rPr>
        <w:t>hon²</w:t>
      </w:r>
      <w:r>
        <w:rPr>
          <w:b w:val="0"/>
        </w:rPr>
        <w:br/>
        <w:br/>
        <w:t>J. Myhrmans UPpDär 18 års ålder eller träder i äktenskap eller kan själf för-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1150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