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139</w:t>
      </w:r>
    </w:p>
    <w:p>
      <w:r>
        <w:rPr>
          <w:b/>
        </w:rPr>
        <w:t xml:space="preserve">Datum: </w:t>
      </w:r>
      <w:r>
        <w:t>1910-06-03</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Samuel Clason (Det förenade högerpartiet, man)</w:t>
      </w:r>
    </w:p>
    <w:p>
      <w:r>
        <w:rPr>
          <w:b w:val="0"/>
        </w:rPr>
        <w:t>Med anledning af den siste ärade talarens anförande vill jag påpeka, att det synes mig dock, som om utskottet likväl icke på alla punkter gått till väga med den varsamheten. Det har exempelvis icke skett, om man går till den fråga, hvarom vi nyss voterade, nämligen om detta afdrag på 3,000 kronor i 13 paragrafen.</w:t>
        <w:br/>
        <w:br/>
        <w:t>Då den ärade talaren vidare anförde ett exempel från Danmark, vill jag erinra, att i Danmark råder ett helt annat förhållande, som inverkar på denna sak, nämligen det förhållande, att där finnes ett genomgående afdrag. Det bevillningsfria afdraget tillämpas nämligen där på alla inkomster hela vägen uppåt, och i följd däraf blir äfven skatteplikten för familjeförsörjare vida lägre ett godt stycke uppåt, än om man endast toge hänsyn till den normala skatteskalan.</w:t>
        <w:br/>
        <w:br/>
        <w:t>Den ärade talaren talade också om, att man höjt gränsen, inom hvilken afdrag för inkomst finge ske, från 4,000 kronor, hvilket förut varit bestämdt, till 6,000 kronor. Ja, beloppet 4,000 förekom i den gamla otillfredsställande skatteförordningen, och att man nu gjort någon förändring därvid, är väl icke något underligt! Skall man här anföra detta skäl, att så och så står det i den gamla förordningen, ja, då skulle man komma till det resultatet, att man icke kunde antaga det nya förslaget i en hel mängd punkter. Ett sådant skäl kan ju icke vara tillfredsställande.</w:t>
        <w:br/>
        <w:br/>
        <w:t xml:space="preserve">liga förslaget, som remitterades till kammarrätten för dess yttrande, hade en i detta afseende afvikande affattning, nämligen »långvarig sjukdom, underhåll af närstående, stark skuldsättning, olyckshändelse och dylikt&gt;, och att departementschefen med anledning af den anmärkningen af kammarrätten att en allt för vag affattning af bestämmelserna om skattelindring på grund af särskilda förhållanden skulle kunna föranleda taxeringsmyndigheterna att gifva sig in på en tolkning, som gåfve skattelindring i fall, som man icke afsett. Då jag vidare beaktat, att departementschefens ändring af paragrafen motiverats just af hänsyn till, att paragrafen i denna del borde närmare begränsas hvad skattelindringen anginge, och att han på grund däraf föreslagit, att affattningen skulle angifva, att de särskilda förhållanden, som kunde föranleda skattelindring, skulle inskränkas till »långvarig sjukdom, underhåll af närstående eller olyckshändelse», så har jag befarat, att möjligen vederbörande taxeringsmyndigheter just därför skulle kunna gifva denna bestämmelse en så restriktiv tolkning, att exempelvis en människa, som utan sjukdom eller olyckshändelse från födelsen varit vanför eller haft ett lyte, som gjort det omöjligt för </w:t>
      </w:r>
      <w:r>
        <w:rPr>
          <w:b/>
        </w:rPr>
        <w:t>henne²</w:t>
      </w:r>
      <w:r>
        <w:rPr>
          <w:b w:val="0"/>
        </w:rPr>
        <w:t xml:space="preserve"> att ens bidraga till sitt uppehälle, icke skulle anses falla under denna bestämmelse. Man kan nämligen, om man anser sig skyldig att gifva en strängt restriktiv tolkning af orden, tänka sig en sådan tillämpning, stödd på s. k. »motiven&gt; till lagen. Detta är icke enligt min mening en riktig tolkning, men jag anser det vara af betydelse för dessa stackars elända, att man så långt som möjligt söker förekomma, att en missuppfattning gör sig gällande dem till olägenhet. Jag skulle därför åtminstone vilja uttala som min uppfattning, att man icke rimligen får gifva dessa stadganden en så restriktiv innebörd, som jag tänkt mig möjligheten af. Och jag får, då ärendet nu icke rimligen kan återremitteras till utskottet för att få bestämmelsen närmare preciserad, nöja mig med att, om icke denna min uppfattning här blir emotsagd, detta bör gifva ett visst stöd för, att min tolkning kommer att erkännas som afsedd.</w:t>
      </w:r>
    </w:p>
    <w:p>
      <w:pPr>
        <w:pStyle w:val="Heading2"/>
      </w:pPr>
      <w:r>
        <w:t>2. Louis Ljungberg (Första kammarens moderata parti, man)</w:t>
      </w:r>
    </w:p>
    <w:p>
      <w:r>
        <w:rPr>
          <w:b w:val="0"/>
        </w:rPr>
        <w:t>Jag skulle endast vilja säga, att jag icke vill bestrida, att herr Gezelius” tolkning kan vara riktig, ty de inom parentesen uppräknade fallen, nämligen långvarig sjukdom, underhåll af närstående eller olyckshändelse, äro gifvetvis endast exempel. Andra särskilda förhållanden torde ju äfven kunna förefinnas.</w:t>
      </w:r>
    </w:p>
    <w:p>
      <w:pPr>
        <w:pStyle w:val="Heading2"/>
      </w:pPr>
      <w:r>
        <w:t>3. Johan Östberg (Första kammarens nationella parti, man)</w:t>
      </w:r>
    </w:p>
    <w:p>
      <w:r>
        <w:rPr>
          <w:b w:val="0"/>
        </w:rPr>
        <w:t>Vid denna nu debatterade bestämmelse i 19 $ är att märka, att det alltid är ett föregående års inkomster, som taxeras. Har på grund af sjukdom eller andra omständigheter en person då icke haft någon inkomst, så blir han icke taxerad, och har inkomsten varit ett mindre belopp än vanligt, så blir han därefter taxerad. De förhållanden, som här afses, långvarig sjukdom eller olyckshändelse och dylikt, skola väl gälla vid skattetillfället. Tillämpningen häraf blir naturligen synnerligen ojämn och ganska svår, men det förhållande, som herr Gezelius berörde, kommer i den</w:t>
        <w:br/>
        <w:br/>
        <w:t xml:space="preserve">mån, det har inflytande på förvärfvet af inkomsten, att därigenom författningsleda till lägre eller ingen taxering. företag och Hvad det af herr Clason berörda ämnet beträffar, så är det af förmögenhetsen mycket omfattande beskaffenhet, och hans kritik är naturligtvis skatt. befogad. Men saken sammanhänger därmed, att hela vår skatte- = (Forts. lagstiftning egentligen icke förut anslutit sig till principen om afdrag för existensminimum. Det är icke genomfördt i våra gällande skattelagar annat än en viss degressiv beskattning för de mindre inkomsterna. Saken är icke heller, såvidt jag kunnat finna, rationellt genomförd i Kungl. Maj:ts nu förevarande förslag. Det är klart, att existensminimum icke ens är lika för alla, och så långt ifrån att det bör bestämmas lika för alla, borde man höja existensminimum vid de större inkomsterna, ty existensminimum bör i viss mån vara beroende af inkomstens storlek. Den, som kan existera på ett visst belopp och i en viss ställning, kan icke existera på det beloppet i en annan ställning. Likaså är det klart, att afdrag för barn borde stiga vid högre inkomster och med hänsyn till lefnadsförhållandena, åtminstone till en viss grad. Det torde emellertid vara omöjligt att i detta sammanhang underkasta den kungliga propositionen någon förändring 1i det af herr Clason angifna syftet, men det är naturligt, att den af honom berörda frågan bör blifva beaktad. Det är viktigt, att man tager hänsyn vid beskattningen af en gift mans inkomster, på hvilken mannen och </w:t>
      </w:r>
      <w:r>
        <w:rPr>
          <w:b/>
        </w:rPr>
        <w:t>hustrun²</w:t>
      </w:r>
      <w:r>
        <w:rPr>
          <w:b w:val="0"/>
        </w:rPr>
        <w:t xml:space="preserve"> skola lefva, att det är existensminimum för två personer, som skall beräknas, och icke blott för en. I dessa delar torde nog lagstiftningen böra moderniseras, och jag delar hans uppfattning, att i dessa stycken torde icke det föreliggande förslaget vara så rationellt affattadt, som önskligt vore.</w:t>
        <w:br/>
        <w:br/>
        <w:t>för det belopp af inkomsten, som öfverstiger tio men icke femton procent af kapitalet, med två kronor för hvarje hundratal kronor af inkomstbeloppet, samt</w:t>
        <w:br/>
        <w:br/>
        <w:t>när den taxerade inkomsten öfverstiger 5 menicke &lt;5!/2/0 af kapitalet, med kronor 2: 55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139</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