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1166</w:t>
      </w:r>
    </w:p>
    <w:p>
      <w:r>
        <w:rPr>
          <w:b/>
        </w:rPr>
        <w:t xml:space="preserve">Datum: </w:t>
      </w:r>
      <w:r>
        <w:t>1911-02-28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Elof Lindström (Lantmanna- och borgarepartiet inom andrakammaren, man)</w:t>
      </w:r>
    </w:p>
    <w:p>
      <w:r>
        <w:rPr>
          <w:b w:val="0"/>
        </w:rPr>
        <w:t>Herr talman, mina herrar! Jag skall först be att till bemötande få upptaga ett par anmärkningar, som den föregående ärade talaren riktat mot förvaltningen af de allmänna läroverken, gående ut på, den ena, att ett lektorat skulle hafva tillsatts väl sent, och den andra, att en ordinarie lärare, som har anställning på annat håll, fått stå kvar i sin ordinarie befattning.</w:t>
        <w:br/>
        <w:br/>
        <w:t>Den första anmärkningen, som gäller öfverstyrelsen, afser ett fall, som jag icke kan yttra mig om, då jag icke är inne i detsamma.</w:t>
        <w:br/>
        <w:br/>
        <w:t>Den andra anmärkningen kan, såvidt jag vet, endast gälla en person, en lektor vid östermalms läroverk här i staden, som är tillförordnad rektor vid handelshöggekolan. Jag var visserligen ytterst tveksam, när den frågan var före, huruvida man skulle kunna gifva honom tjänstledighet för att förvalta rektoratet vid handelshögskolan, men jag ansåg, att det var så godt som ett statsintresse, att denna befattning blef besatt med en kompetent person. Af den omständigheten, att han fått stanna kvar på sin ordinarie tjänst, får man dock icke draga den slutsatsen, att hans kvarstående skall blifva långvarigt, utan han får kvarstå endast, till dess att pensionsförhållandena på den nya platsen hunnit regleras, hvilket torde komma att ske mycket snart. Jag vet icke, att jag varit med om något annat fall, då en person fått stå kvar i sin ordinarie tjänst, under det han haft tjänst på annat håll, som icke varit statstjänst. Och denna plats betraktar jag såsom half statstjänst.</w:t>
        <w:br/>
        <w:br/>
        <w:t>Därefter vill jag säga några ord med anledning af den ärade</w:t>
        <w:br/>
        <w:br/>
        <w:t>talarens anmärkningar om tillståndet vid de allmänna läroverken, och då ger jag honom rätt i att det är ganska bedröfligt. Det är något alldeles märkvärdigt, att under de två sista åren hafva platser anslagits lediga 80 gånger, tror jag — af dem hafva samma platser då anslagits lediga flera gånger — utan att någon sökande anmält sig. Det visar oförtydbart, att lärarebanan icke är så tilldragande, som den borde vara, för att läroverken skola kunna fylla sin uppgift. Jag anser mig icke kunna upptaga tiden med att gå in på orsakerna härtill, men, om jag skulle göra en utredning, skulle jag komma till det resultatet, att en af orsakerna är den, att lönerna äro för små. Och jag vill ytterligare säga det, att från Norrland hafva inkommit så bevekande framställningar om förhöjning af lönerna både för ordinarie och extra lärare, att man kunnat blifva rörd däraf. Jag har dock icke ansett mig kunna upptaga frågan om ortstilllägg allenast för lärarne där uppe. Jag har emellertid klart för mig, att det enda effektiva botemedlet är en lönereglering, ty det, att man skapar till nva platser, är icke effektivt. Det kan vara fråga, om det är så riktigt att gå på i för stark fart i det afseendet, när så ytterst få kompetenta personer finnas att besätta platserna med. Därmed har jag naturligtvis icke sagt, att jag icke vill vara med på utskottets förslag.</w:t>
        <w:br/>
        <w:br/>
        <w:t xml:space="preserve">Nu behöfves visserligen en lönereglering, men det är så mycket annat än lönereglering som behöfves. Det är ju så, att under gångna tider har lagstiftningen för de allmänna läroverken, högre </w:t>
      </w:r>
      <w:r>
        <w:rPr>
          <w:b/>
        </w:rPr>
        <w:t>flickskolor²</w:t>
      </w:r>
      <w:r>
        <w:rPr>
          <w:b w:val="0"/>
        </w:rPr>
        <w:t xml:space="preserve"> och folkskolor gått på så olika linjer, att Kungl. Maj:t icke vetat, hvilka grundsatser Kungl. Maj:t tillämpat på det ena området, då Kungl. Maj:t lagstiftat på det andra området af undervisning. En mångfald olika lagstiftningsprinciper hafva gjort sig gällande. Detta har kunnat gå för sig, så länge undervisningsanstalterna varit fullständigt skilda, men det har, såsom utvecklingen alltid nödvändiggör, uppkommit mellanformer mellan dessa olika anstalter för meddelande af medborgerlig bildning. Först hafva vi samskolorna såsom en mellanform mellan de allmänna läroverken och de högre </w:t>
      </w:r>
      <w:r>
        <w:rPr>
          <w:b/>
        </w:rPr>
        <w:t>flickskolorna²</w:t>
      </w:r>
      <w:r>
        <w:rPr>
          <w:b w:val="0"/>
        </w:rPr>
        <w:t>, vidare de kommunala mellanskolorna såsom en mellanform mellan de allmänna läroverken och folkskolorna. Det är, när man organiserar dessa mellanformer och de olika skolarterna träffa hvarandra, som olikheten i lagstiftningsprinciperna så kraftigt framträder.</w:t>
        <w:br/>
        <w:br/>
        <w:t xml:space="preserve">Af detta har jag fått den uppfattningen, att vi, på grund af dessa mellanformers framträngande, med nödvändighet måste få en revision af hela vårt undervisningsväsende. För en dylik revision tala äfven så många andra skäl. Jag vill här icke gå närmare in på dem utan vill endast påpeka, hurusom t. ex. frågan om </w:t>
      </w:r>
      <w:r>
        <w:rPr>
          <w:b/>
        </w:rPr>
        <w:t>kvinnors¹</w:t>
      </w:r>
      <w:r>
        <w:rPr>
          <w:b w:val="0"/>
        </w:rPr>
        <w:t xml:space="preserve"> anställning i statstjänst såsom </w:t>
      </w:r>
      <w:r>
        <w:rPr>
          <w:b/>
        </w:rPr>
        <w:t>lärarinnor³</w:t>
      </w:r>
      <w:r>
        <w:rPr>
          <w:b w:val="0"/>
        </w:rPr>
        <w:t xml:space="preserve"> vid de allmänna läroverken påkallar ändring i många bestämmelser rörande dessa läroverk. Vidare hafva vi folkskolelärarnes framställning om löneförbättring, hvilken synes ganska befogad, äfvensom hela folkundervisningskommittén med dess oerhördt viktiga arbete i frågan om organisation af folkskolorna och seminarierna. Endast de personer, som</w:t>
        <w:br/>
        <w:br/>
        <w:t>äro inne i frågan, kunna förstå hvad jag menar, när jag vidare ta- Ang. inrättanlar om gymnasiernas uppgift, nämligen frågan om gymnasierna böra de af nya lek- 1 högre grad än hittills tillgodose behofvet att förbereda till de högre "Ore, rd fackstudierna. Jag ber vidare få påminna om att själfva examens-7”” Forbes ” väsendet behöfver omläggas. Det går ju nu en rörelse genom den (Forts.) pedagogiska världen för att få examen till att utgöra ett bättre uttryck för examinandens ståndpunkt. Allt detta framtvingar med nödvändighet en revision.</w:t>
        <w:br/>
        <w:br/>
        <w:t>Af allt hvad jag nu yttrat framgår, att jag förutser mycket snart en revision af den allmänna undervisningen, lagd på vidare basis, än som skedde år 1904. Med denna uppfattning har jag icke ansett mig böra till denna riksdag framlägga några partiella förslag, utan jag tänker, att det är bäst, att ecklesiastikministern, när den tiden kommer, till nästa eller någon därpå följande riksdag får taga hela frågan i öfvervägande i ett sammanhang. Men jag ger den ärade talaren rätt i att något behöfver göras och göras snart.</w:t>
      </w:r>
    </w:p>
    <w:p>
      <w:pPr>
        <w:pStyle w:val="Heading2"/>
      </w:pPr>
      <w:r>
        <w:t>2. unknown (–, –)</w:t>
      </w:r>
    </w:p>
    <w:p>
      <w:r>
        <w:rPr>
          <w:b w:val="0"/>
        </w:rPr>
        <w:t>Herr talman! Jag ber att till herr statsrådet och chefen för ecklesiastikdepartementet få framföra min tacksamhet för det tillmötesgående sätt, på hvilket han upptagit min anteckning till protokollet.</w:t>
        <w:br/>
        <w:br/>
        <w:t>Med afseende på det enstaka fall, han omnämnde, ber jag få säga, att statens intresse är, att den plats, som staten aflönar, skötes på det bästa sätt. Det lektorat, hvarom här är fråga, är ett af de viktigaste vid läroverken, och jag hoppas, att ecklesiastikministern gör allvar af sin uppfattning, att vederbörande icke bör få för länge åtnjuta lön både som rektor för handelshögskolan och som lektor vid östermalms läroverk.</w:t>
        <w:br/>
        <w:br/>
        <w:t xml:space="preserve">Dessutom tillåter jag mig hemställa till honom, huruvida det icke kan vara skäl att taga i öfvervägande, om icke en partiell reform af läroverksfrågan ändock skulle kunna företagas. Vi hafva haft andra partiella reformer. Jag vill erinra därom, att professorerna vid Tekniska högskolan fingo löneförhöjning utan åtföljande omorganisation. Jag vill vidare erinra om ett ärende, som gnart kommer före, lönereglering för Farmaceutiska institutet. Enligt min mening blir äfven denna en lönereglering utan omorganisation. Jag kunde erinra om många fler sådana fall, där lönereglering skett utan omorganisation. Skola lärarna vänta på allt det, som herr statsrådet talade om, och skall undervisningen vänta på allt det, som herr statsrår det talade om, då tror jag, att väntan blir ungefär lika lång, som den blef, innan 1904 års läroverksreform kom till, ty skola vi ha in </w:t>
      </w:r>
      <w:r>
        <w:rPr>
          <w:b/>
        </w:rPr>
        <w:t>kvinnofrågan¹</w:t>
      </w:r>
      <w:r>
        <w:rPr>
          <w:b w:val="0"/>
        </w:rPr>
        <w:t>, frågan om alla skolformer och allt detta, då är det nog icke möjligt ens för herr statsrådet och chefen för ecklesiastikdepartementet att utreda den saken till 1912 eller 1913 års riksdag.</w:t>
      </w:r>
    </w:p>
    <w:p>
      <w:pPr>
        <w:pStyle w:val="Heading2"/>
      </w:pPr>
      <w:r>
        <w:t>3. Elof Lindström (Lantmanna- och borgarepartiet inom andrakammaren, man)</w:t>
      </w:r>
    </w:p>
    <w:p>
      <w:r>
        <w:rPr>
          <w:b w:val="0"/>
        </w:rPr>
        <w:t>Det är endast ett par ord, som jag skulle vilja nämna.</w:t>
        <w:br/>
        <w:br/>
        <w:t>Är det riktigt, vill jag fråga den föregående ärade talaren, att den lektor, som här är fråga om, hvilken är tjänstledig, får uppbära sin lön? Jag vill minnas, och jag tror icke, att jag misstager mig, att det. då han erhöll denna ledighet, föreskrefs, att han skulle afstå alla med tjänsten förenade löneförmåner.</w:t>
      </w:r>
    </w:p>
    <w:p>
      <w:pPr>
        <w:pStyle w:val="Heading2"/>
      </w:pPr>
      <w:r>
        <w:t>4. Karl Starbäck (Lantmanna- och borgarepartiet inom andrakammaren, man)</w:t>
      </w:r>
    </w:p>
    <w:p>
      <w:r>
        <w:rPr>
          <w:b w:val="0"/>
        </w:rPr>
        <w:t>Herr talman! Då Riksdagen år 1904 antog förslaget om ny läroverksorganisation, utspann sig särskildt inom Andra kammaren en ganska lång debatt med afseende på en fråga, som var förknippad med denna reform, nämligen frågan om erläggande af terminsafgifter. Det framhölls, att genom införande af dessa terminsafgifter skulle ett streck strykas öfver den rätt till fri undervisning, som hittills varit en prydnad för Sveriges allmänna läroverk. Emellertid beviljade Riksdagen, som jag tror mest af ekonomiska skäl, denna nya skatteform isynnerhet därför, att det framhölls, att den skulle vara af progressiv art och tyngst drabba de bättre lottade och icke alls de fullt medellösa. Nu stå vi inför en ökad terminsafgift, och jag skulle be att få säga några ord härom.</w:t>
        <w:br/>
        <w:br/>
        <w:t>Just på grund af detta förhållande och införandet år 1904 af Ang.höjning af terminsafgifter, tror jag nämligen, att det är lämpligt, att Riksterminsafgifdagen ser upp med nya ökningar af denna skatteform. Vi skola till foton komma ihåg, att dessa terminsafgifter, som läroverkens lärjungar teriellbassorna betala för att åtnjuta undervisning, icke användas för läroverkens vid de allmänbehof utan gå till den allmänna statsregleringen. Vi hafva här en-na läroverken. ligt min mening äfven att fästa oss vid, att af det reservationsanslag &lt; (Forts) för de allmänna läroverken, på hvilket under stundom ganska stora besparingar kunna uppstå, en del användes för andra ändamål. År 1910 upptogs 1 statsregleringen för: 1911 med Riksdagens begifvande icke mindre än 250,000 kronor däraf för den allmänna statsregleringen. Det heter härom i statsrådsprotokollet för finansärenden den 14 januari 1910: »Enligt hvad chefen för ecklesiastikdepartementet i en till mig aflåten ämbetsskrifvelse meddelat, torde nämligen af besparingar å nämnda anslag, hvilka vid 1909 års slut utgjorde omkring 475,000 kronor, ett belopp af 250,000 kronor icke vara för de allmänna läroverkens behof erforderligt.»</w:t>
        <w:br/>
        <w:br/>
        <w:t>Det är ju tydligt, att herr statsrådet redan då hade sin uppfatt-</w:t>
        <w:br/>
        <w:br/>
        <w:t>ning klar rörande de behof för de allmänna läroverken, om hvilka här är fråga. Det förelåg nämligen redan då, såsom jag tror mic kunna bestämdt påstå, och hvilket jag icke tror, att herr statsrådet vill jäfva, hos många läroverk ett synnerligen trängande behof att få undervisningsmateriellen förbättrad. Men herr statsrådet anser, att det reservationsanslag, som är till för de allmänna läroverkens behof, lämpligare användes för den allmänna statsreglerincen än för dessa läroverks behof. Därom är nu icke lönt att tvista. Jag har en helt annan uppfattning och har endast velat framhålla dessa bägge punkter, terminsafgifterna och reservationsanslagets användande, för att visa, att trots det att under de allmänna läroverkens rubrik, så att säga, ganska stora tillgångar finnas, och trots att vi ha terminsafgifter, hvilka utgå direkt från dem, som skola åtnjuta undervisning, till den allmänna statsregleringen, det nu är meningen att för ett trängande undervisningsbehof ytterligare beskatta läroverkens lärjungar.</w:t>
        <w:br/>
        <w:br/>
        <w:t>Om herrarna studera utskottsbetänkandet, torde det nog icke vara svårt att läsa mellan raderna, att utskottet varit synnerligen tveksamt i denna fråga. Utskottet säger visserligen, att det delar departementschefens uppfattning angående olämpligheten ef att för ifrågavarande ändamål anvisa statsanslag, men det tillmäter icke hans uppfattning om svårigheten att fördela detta statsanslag någon afgörande betydelse, utan orsaken, hvarför utskottet vill, att penningarna för detta läroverkens behof skola tagas från lärjungarna och icke beviljas såsom statsanslag af Riksdagen, är den, att det fruktar konsekvenserna. Utskottet säger, att, om nu Riksdagen beviljar ett anslag för detta ändamål, komma sedan läroverken gång på gång att fordra statsanslag för sina behof. Jag tror, att den farhågan mera är satt på papperet här än motsvaras af en djupt och bestämdt känd klarhet med afseende på den saken.</w:t>
        <w:br/>
        <w:br/>
        <w:t>Nu framstå för mig två förhållanden, som tala för, att man</w:t>
        <w:br/>
        <w:br/>
        <w:t xml:space="preserve">Men min andra, kanske viktigare synpunkt är den, att läroverken, såsom ju är mycket väl bekant för herr statsrådet, befolkas af en stor mängd lärjungar från familjer, som i allmänhet hafva en sådan ekonomi, att den närmar sig existensminimum, men dock icke är så svag att vederbörande, vare sig lärarkollegium eller nämnd, anser sig kunna befria dem från de stadgade terminsafgifterna. Jag tänker mig den medelklass af tjänstemän, som är spridd kring hela landet med en inkomstsiffra af 3,000 å 5,000 kr. Om en af dessa — låt oss säga en som har 4,000 kronors inkomst och en barnskara på 4 — vill hålla sina barn i skolan, hur mycket kostar det honom? För att få ett konkret exempel antar jag, att han har två pojkar och två </w:t>
      </w:r>
      <w:r>
        <w:rPr>
          <w:b/>
        </w:rPr>
        <w:t>flickor²</w:t>
      </w:r>
      <w:r>
        <w:rPr>
          <w:b w:val="0"/>
        </w:rPr>
        <w:t xml:space="preserve">. Om vi antaga, att hans </w:t>
      </w:r>
      <w:r>
        <w:rPr>
          <w:b/>
        </w:rPr>
        <w:t>flickor²</w:t>
      </w:r>
      <w:r>
        <w:rPr>
          <w:b w:val="0"/>
        </w:rPr>
        <w:t xml:space="preserve"> för sin utbildning behöfva betala 80 kronor hvar i terminen, så är detta en utgift på 320 kronor om året, och om vi sedan räkna efter hvad det blir för hans pojkar och antaga, att en går i högsta klassen och en 1 realskolan, så blir det, efter 50 kronor per termin, 100 kronor för år. Lägga vi därtill de olika terminsafgifterna, som kunna stiga till mellan 20 och 30 kr. i terminen, så blir det 80 kronor, och denne tjänsteman med mycket begränsade tillgångar och stor familj får således betala skolafgifter på omkring 500 kronor om året.</w:t>
        <w:br/>
        <w:br/>
        <w:t>Man kan nu säga: det är visserligen sant, men icke kan det väl vara någon fara att öka en terminsafgift med endast 2:50? Ja, det kan så tyckas, men jag vill erinra kammaren om, att kammarer hade en annan mening, om jag ej missminner mig, förra året, då frågan om skolläkarnas aflöning var före. Då lyssnade kammaren till den anmärkningen att för "dessa personer, om hvilka jag nyss tillåtit mig tala, spelar hvarje ökning en ganska stor roll. Jag framhöll då, och jag ber att ytterligare få framhålla det nu, att den, som varit med om att såsom klassföreståndare uppbära skolafgifterna, känner till i huru många fall vederbörande bedt att få vänta äfven med den mindre afgiften i 14 dagar eller så. Jag har icke kunnat vara med om utskottets motivering i detta fall, men då jag tyvärr icke hade tillfälle bifoga en ny motivering till reservationen, tillåter jag mig att med herr talmannens tillstånd här föreslå en förändrad lydelse af densamma. Denna förändring skulle bestå däri, att på sidan 43 de 3 nedersta raderna, som lyda så: »Utskottet delar departementschefens uppfattning angående olämpligheten af att för ifrågavarande ändamål anvisa statsanslag» skulle utgå, att</w:t>
        <w:br/>
        <w:br/>
        <w:t>ordet » Visserligen» ersättes med »det», samt att det stycket på sidan Ang.höjning åf 44, rad 12 uppifrån, som börjar med: »Om än utskottet» etc. och terminsafgif-</w:t>
        <w:br/>
        <w:br/>
        <w:t>»Då emellertid för närvarande ingen annan utväg föreligger att riellkassorna tillgodose ett till fullo påvisadt behof för läroverken, har utskottet vid de allmänicke velat motsätta sig den föreslagna förhöjningen, men har emel-n« läroverken.</w:t>
        <w:br/>
        <w:br/>
        <w:t>lertid ansett, att denna förhöjning icke bör, såsom af Kungl. Maj:t föreslagits, medgifvas tills vidare utan torde densamma böra begränsas till en tid af 5 år. Härmed har utskottet likväl icke velat ansluta sig till departementschefens åsikt, att icke ett tillfälligt läroverksbehof af ifrågavarande art bör kunna genom statsanslag tillgodoses, isynnerhet som utskottet icke kan tillmäta de af departementschefen framhållna svårigheterna att på de olika läroverken fördela ett statsanslag någon afgörande betydelse.»</w:t>
        <w:br/>
        <w:br/>
        <w:t>Innan jag slutar skall jag äfven be att till herr statsrådet få hemställa, huruvida man icke vid ordnandet af dessa behof för läroverken skulle kunna tänka sig en sådan förändring af läroverksstadgan — möjligen behöfves för detta Riksdagens bifall — att afgifterna till de olika kassorna blifva rörliga och att användandet af de olika kassornas behållning äfven blefve rörligt.</w:t>
        <w:br/>
        <w:br/>
        <w:t>Herr talman, jag ber att få yrka bifall till utskottets hemställan med den förändring i motiveringen, som jag här tillåtit mig framställa.</w:t>
        <w:br/>
        <w:br/>
        <w:t>Det finns goda skäl på båda sidorna, men jag tror, att praktiska och rent finansiella skäl öfvervägande tala för det för- :slag utskottet här anslutit sig till, och för min del tror jag, — äfven om jag i viss mån lutar åt herr Starbäcks uppfattning angående statens ställning till läroverken — att det i alla fall för ögonblicket är lämpligast att bifalla utskottets förslag.</w:t>
        <w:br/>
        <w:br/>
        <w:t>Jag måste begagna detta tillfälle för att säga ett par ord med anledning ar den del af herr Starbäcks anförande, som rörde en eventuell ändring beträffande kassorna vid läroverken. Jag har deltagit i revisionen af de allmänna läroverkens räkenskaper och har därvid fått se, hur ytterst olika man tillämpar bestämmelserna angående hvilka utgifter, som skola betalas ur ljusoch vedkassan, och hvilka som skola betalas ur biblioteksoch materiellkassan. För min del vill jag häfda den uppfattningen här, att det icke är lämpligt att man lossar på bestämmelserna angående ljusoch vedkassornas användning. Vi skola komma ihåg, att atgifterna till ljusoch vedkassorna äro obligatoriska för alla läroverkets elever, medan däremot lärjungar kunna befrias från afgifterna till biblioteksoch materiellkassorna. Om vi nu slå fast, att kassorna göras mera rörliga, så att man kan taga från ljusoch vedkassan för att fylla behof för biblioteksoch materiellkassan, så har jag den bestämda uppfattningen, att man kan medverka till en tvångsbeskattning af de fattigaste lärjungarne vid läroverket. Och det vill jag icke vara med om.</w:t>
        <w:br/>
        <w:br/>
        <w:t>Herr talman, jag slutar med att yrka bifall till utskottets. förslag både beträffande kläm och motivering.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