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155</w:t>
      </w:r>
    </w:p>
    <w:p>
      <w:r>
        <w:rPr>
          <w:b/>
        </w:rPr>
        <w:t xml:space="preserve">Datum: </w:t>
      </w:r>
      <w:r>
        <w:t>1911-04-22</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Steffen (–, man)</w:t>
      </w:r>
    </w:p>
    <w:p>
      <w:r>
        <w:rPr>
          <w:b w:val="0"/>
        </w:rPr>
        <w:t>Den föreliggande motionen om utredning an-</w:t>
        <w:br/>
        <w:br/>
        <w:t>gående nattarbete af män inom vissa arbetsområden innehåller vissa drag såväl uti motiveringen som uti klämmen, med hvilka</w:t>
        <w:br/>
        <w:br/>
        <w:t>vissa arbets Jag icke i allo kan förklara mig ense. Likväl synes mig motionens</w:t>
        <w:br/>
        <w:br/>
        <w:t>allmänna syfte vara af den stora betydelse och aktualitet, att jag icke kan låta den gå mig förbi utan att uttala ett par ord beträffande densamma och det sätt, på hvilket den blifvit behandlad i lagutskottet.</w:t>
        <w:br/>
        <w:br/>
        <w:t xml:space="preserve">Af motionens motivering framgår, att det delvis varit motionärens tanke, att det förbud, som nu gäller beträffande nattarbete för </w:t>
      </w:r>
      <w:r>
        <w:rPr>
          <w:b/>
        </w:rPr>
        <w:t>kvinnor¹</w:t>
      </w:r>
      <w:r>
        <w:rPr>
          <w:b w:val="0"/>
        </w:rPr>
        <w:t xml:space="preserve">, med viss nödvändighet måste draga med sig liknande förbud angående nattarbete för män — detta ur rent abstrakt likställighetssynpunkt. Denna argumentation kan jag icke göra till min. Jag kan icke finna, att den är bärkraftig. Det råder en så stor och väsentlig skillnad mellan </w:t>
      </w:r>
      <w:r>
        <w:rPr>
          <w:b/>
        </w:rPr>
        <w:t>kvinnors¹</w:t>
      </w:r>
      <w:r>
        <w:rPr>
          <w:b w:val="0"/>
        </w:rPr>
        <w:t xml:space="preserve"> och mäns förvärfsarbete och deras betydelse för samhället, att jag väl kan anse, att lagstiftaren med full rätt kan behandla män och </w:t>
      </w:r>
      <w:r>
        <w:rPr>
          <w:b/>
        </w:rPr>
        <w:t>kvinnor¹</w:t>
      </w:r>
      <w:r>
        <w:rPr>
          <w:b w:val="0"/>
        </w:rPr>
        <w:t xml:space="preserve"> hvad nattarbetet beträffar helt olika.</w:t>
        <w:br/>
        <w:br/>
        <w:t>Emellertid kan jag icke biträda utskottets motivering för afslag å motionen. Denna motivering för afslag synes mig uppvisa två hufvudpunkter. Den ena finner jag här formulerad på följande sätt: »Med den rastlösa verksamhet», säger utskottet, &gt;»och den stora materiella utveckling, som utmärker det modärna samfundslifvet, skulle det enligt utskottets uppfattning icke vara tillrådligt att så binda denna utveckling efter på förhand gifna banor som skulle ske genom en lagstiftning af den ingripande art, som nu ifrågasättes».</w:t>
        <w:br/>
        <w:br/>
        <w:t xml:space="preserve">Jag vill då fästa kammarens uppmärksamhet på, att en sådan bindande lagstiftning för industriell verksamhet i dess allra största omfattning 1 själfva verket är gällande och utöfvar sin verkan särskildt på män samt hindrar dem från att utöfva nattarbete. I den arbetareskyddseller s. k. fabrikslagstiftning, som sedan mer än ett halft sekel tillbaka varit gällande i den moderna storindustriens moderland, England, nämnes visserligen icke, då det är fråga om förbud för nattarbete och annan reglering af arbetstiden, ett enda ord om männen, men i stället regleras arbetstiden för unga individer, som de kallas, och barn — således för alla individer under 18 år — och alla </w:t>
      </w:r>
      <w:r>
        <w:rPr>
          <w:b/>
        </w:rPr>
        <w:t>kvinnor¹</w:t>
      </w:r>
      <w:r>
        <w:rPr>
          <w:b w:val="0"/>
        </w:rPr>
        <w:t xml:space="preserve"> på följande sätt: Uti textilindustrien är arbetstiden för barn begränsad till 25 timmar i veckan samt för unga individer och </w:t>
      </w:r>
      <w:r>
        <w:rPr>
          <w:b/>
        </w:rPr>
        <w:t>kvinnor¹</w:t>
      </w:r>
      <w:r>
        <w:rPr>
          <w:b w:val="0"/>
        </w:rPr>
        <w:t xml:space="preserve"> till 55!/2 timmar i veckan. I öfriga fabriksindustrier är arbetstiden för barn 30 timmar i veckan och för öfriga unga individer och </w:t>
      </w:r>
      <w:r>
        <w:rPr>
          <w:b/>
        </w:rPr>
        <w:t>kvinnor¹</w:t>
      </w:r>
      <w:r>
        <w:rPr>
          <w:b w:val="0"/>
        </w:rPr>
        <w:t xml:space="preserve"> 60 timmar. Arbetsdagens början och slut är fastställd i lag så, att därigenom allt nattarbete blir omöjligt. Nu är det ett välbekant faktum, att i textilindustrierna samt åtskilliga andra modärna industrier stora massor af män sysselsättas i sådant samarbete med </w:t>
      </w:r>
      <w:r>
        <w:rPr>
          <w:b/>
        </w:rPr>
        <w:t>kvinnor¹</w:t>
      </w:r>
      <w:r>
        <w:rPr>
          <w:b w:val="0"/>
        </w:rPr>
        <w:t>, unga individer och barn, att männen icke ett ögonblick kunna arbeta utöfver den tid,</w:t>
        <w:br/>
        <w:br/>
        <w:t xml:space="preserve">som är lagligen fastställd för </w:t>
      </w:r>
      <w:r>
        <w:rPr>
          <w:b/>
        </w:rPr>
        <w:t>kvinnor¹</w:t>
      </w:r>
      <w:r>
        <w:rPr>
          <w:b w:val="0"/>
        </w:rPr>
        <w:t>, barn och unga individer. Om förbud Detta var den engelske lagstiftaren fullt medveten om, då han Inre män inom slutet af 1840-talet utmejslade denna i högst väsentlig grad re- Vissa arbets striktiva lagstiftning; och det diskuterades då med all möjlig ifver områden. mellan lagstiftaren och industriidkarne om de faror för industrien, (Forts) som kunde ligga i denna lagstiftning. Man har sålunda mer än 50 års erfarenhet om, att nattarbetet faktiskt kan vara genom lagen omöjliggjordt för männen 1 några af ett stort industrilands allra viktigaste exportindustrier, utan att medföra minskad konkurrensförmåga. Det förefaller mig sålunda, som om utskottets uppfattning stode i strid mot klar och tydlig erfarenhet. Jag vill däremot icke denna gång inlåta mig på den abstrakta principfrågan.</w:t>
        <w:br/>
        <w:br/>
        <w:t>Det andra skäl utskottet anför för sitt afstyrkande finner jag i följande passus: »Som bekant står frågan om beredande af ett effektivare skydd mot yrkesfara i arbete för närvarande på dagordningen hos oss, i det att betänkande och förslag i ämnet föreligga af en för ändamålet tillsatt kommitté. Det synes vara anledning, att nämnda fråga först föres fram till en tillfredsställande lösning, innan åtgärder af nu påyrkad vidtgående art vidtagas i liknande syfte som sagda förslag afser att främja.»</w:t>
        <w:br/>
        <w:br/>
        <w:t>När man läser detta, förefaller det, som om man måste få den uppfattningen, att utskottet tror, alt i yrkesfarekommitténs betänkande finnes någonting angående allmän begränsning af arbetstiden. Så är emellertid alldeles icke fallet. Det finnes icke någonting om den saken hvarken i kommitténs utredning eller förslag. I den del af motiveringen till yrkesfarekommitténs betänkande, afgifvet den I december 1909, som särskildt berör föreliggande fråga, står följande: »Ehuru kommittén af flera skäl och synnerligast med hänsyn till Riksdagens vid fera tillfällen ådagalagda, afvisande hållning i frågan ej ansett sig böra i förevarande lag upptaga några allmänna bestämmelser rörande arbetstidens begränsning, har kommittén dock ej funnit sig kunna underlåta att genom ett särskildt stadgande rikta uppmärksamheten på betydelsen af erforderlig söndagshvila. » Detta är sålunda det enda steg på det område, som tillhör arbetstidens allmänna reglering och begränsning, som yrkeskommittén tagit, och jag frågar: hvad har väl detta för sammanhang med motionärens förslag? Här ha vi ett skickande af ett ärende från en myndighet till en annan och tillbaka. Kommittén företar ingenting, därför att Riksdagen visat »en afvisande hållning», såsom kommittén säger. Lagutskottet vill nu ingenting göra, därför att kommittén haft frågan under behandling och Riksdagen först bör behandla kommitténs utlåtande. Men jag vill påpeka för herrarna, att när vi en gång komma att behandla kommitténs utlåtande, finna vi där ingenting om de vuxna arbetarnas arbetstid och dennas reglering. Vi bli oförmögna att taga ett enda steg</w:t>
        <w:br/>
        <w:br/>
        <w:t>då att fattas oss nödig utredning och vägledande förslag. Om reservationen bifalles, få vi en begynnelse till utredning</w:t>
        <w:br/>
        <w:br/>
        <w:t>områdenom en allmän begränsning af arbetstiden inom industrien. Helst (Forts.)</w:t>
        <w:br/>
        <w:br/>
        <w:t>skulle jag sett, att motionen varit mera omfattande, så att den innehållit en begäran om allmän utredning beträffande arbetstiden öfverhufvud inom industrien och därmed besläktade arbetsområden. Men då en sådan utvidgning af motionens syfte icke låter sig göra, måste jag nöja mig med att yrka bifall till reservationen.</w:t>
      </w:r>
    </w:p>
    <w:p>
      <w:pPr>
        <w:pStyle w:val="Heading2"/>
      </w:pPr>
      <w:r>
        <w:t>2. Ernst Håkanson (Första kammarens nationella parti, man)</w:t>
      </w:r>
    </w:p>
    <w:p>
      <w:r>
        <w:rPr>
          <w:b w:val="0"/>
        </w:rPr>
        <w:t>Herr talman, mina herrar! Jag skall ingalunda besvära kammaren med att till bemötande upptaga den föregående ärade talarens anförande. Jag vill endast erinra om, att Riksdagens båda kamrar tre år i rad afelagit alldeles enahanda motioner som den nu förevarande af samme motionär. Då jag är öfvertygad om, att denna kammare äfven i år intager samma ståndpunkt i denna fråga, ber jag att få yrka bifall till utskottets utlåtande.</w:t>
        <w:br/>
        <w:br/>
        <w:t>automatrestauranter o. s. v. måtte förbjudas å sådan tid, då tobaks- Om utsträckt</w:t>
        <w:br/>
        <w:br/>
        <w:t>handel enligt den nya lagen den 5 juni 1909 skall hållas stängd. mo</w:t>
        <w:br/>
        <w:br/>
        <w:t>i vidare mån än enligt gällande lagstiftning förbjudas, samt för Riksdagen framlägga det förslag, som däraf kunde föranledas.</w:t>
      </w:r>
    </w:p>
    <w:p>
      <w:pPr>
        <w:pStyle w:val="Heading2"/>
      </w:pPr>
      <w:r>
        <w:t>3. Ernst Håkanson (Första kammarens nationella parti, man)</w:t>
      </w:r>
    </w:p>
    <w:p>
      <w:r>
        <w:rPr>
          <w:b w:val="0"/>
        </w:rPr>
        <w:t>Herr talman, mina herrar! Jag har icke kunnat biträda lagutskottets utlåtande i denna fråga, utan har jämte flera andra ledamöter af denna kammare mot detsamma afgifvit reservation. Vi hafva nämligen funnit den af utskottet föreslagna skrifvelsen vara alldeles öfverflödig.</w:t>
        <w:br/>
        <w:br/>
        <w:t>Hvad först beträffar försäljning af tobaksvaror i kiosker vågar jag såsom min bestämda uppfattning uttala, att denna handel står i strid mot gällande lagstiftning och kan på laglig väg åtkommas och sålunda förhindras. Till utredning i denna fråga ber jag få uppläsa en till mig aflämnad polisrapport, som är af följande lydelse:</w:t>
        <w:br/>
        <w:br/>
        <w:t>»Enligt order har utredning hållits för utrönande af, huruvida här i staden i vattenkiosker och i mindre matvaruaffärer samt i fruktaffärer efter klockan 9 på eftermiddagarna försåldes tobaksvaror; och har därvid inhämtats följande.</w:t>
        <w:br/>
        <w:br/>
        <w:t xml:space="preserve">Den 5 november 1910 dömdes </w:t>
      </w:r>
      <w:r>
        <w:rPr>
          <w:b/>
        </w:rPr>
        <w:t>hustrun²</w:t>
      </w:r>
      <w:r>
        <w:rPr>
          <w:b w:val="0"/>
        </w:rPr>
        <w:t xml:space="preserve"> Fredrika Krause i polisdomstolen att böta 5 kronor för det </w:t>
      </w:r>
      <w:r>
        <w:rPr>
          <w:b/>
        </w:rPr>
        <w:t>hon²</w:t>
      </w:r>
      <w:r>
        <w:rPr>
          <w:b w:val="0"/>
        </w:rPr>
        <w:t xml:space="preserve">, som förestod allmänna bekvämlighetsinrättningen i Kungsträdgården, den 27 oktober klockan 10,30 eftermiddagen inne i bekvämlighetsinrättningen å den plats, där </w:t>
      </w:r>
      <w:r>
        <w:rPr>
          <w:b/>
        </w:rPr>
        <w:t>hon²</w:t>
      </w:r>
      <w:r>
        <w:rPr>
          <w:b w:val="0"/>
        </w:rPr>
        <w:t xml:space="preserve"> expedierar bekvämlighetsinrättningen besökande personer, försålt en ask cigarretter.</w:t>
        <w:br/>
        <w:br/>
        <w:t>Måndagen den 27 sistlidne mars kort efter klockan 9 e. m. iakttogs af konstapeln nr 444 Karl August Hultberg, att innehafvaren af vattenkiosken å västra Slussgatan, handlanden Karl August Lindberg, 1 vattenkiosken försålde cigarretter till allmänheten. Härom ingafs rapport från 8:de polisdistriktets station den 29 sistlidne mars till Kungl. Poliskammaren, som beslöt, att innehafvaren af vattenkiosken skulle inkallas till polisdomstolen.</w:t>
        <w:br/>
        <w:br/>
        <w:t>restauranger säljning. Det har icke kunnat fastställas, att försäljning af tobaks-</w:t>
        <w:br/>
        <w:br/>
        <w:t>Någon försäljning af tobaksvaror i mindre matvaruaffärer eller fruktaffärer har icke, såvidt det kunnat utrönas, förekommit. Stockholm den 18 april 1910. Joh. Svensson, poliskommissarie.»</w:t>
        <w:br/>
        <w:br/>
        <w:t>Sålunda lärer denna handel med cigarrer och tobaksvaror utomhus i kiosker, som enligt cigarrhandlarnes vid ett nyligen hållet möte lämnade uppgifter skulle drifvas i stor omfattning, i stället vara mycket ringa. I de fall den förekommer kan den förhindras genom iakttagande af bestämmelserna i gällande lag.</w:t>
        <w:br/>
        <w:br/>
        <w:t>Vi komma nu till försäljning af tobaksvaror på restauranger och kaféer. Af motiveringen vågar jag tro, att utskottets mening icke är, att sådan försäljning skulle förbjudas till gäster, utan att det endast är fråga om försäljning till andra än gäster. Såsom vi sagt i vår reservation, hafva vi, oaktadt vi därom anställt efterforskningar och erhållit uppgifter från polisen, icke kunnat utröna, att någon sådan försäljning i allmänhet förekommer, och en skrifvelse med begäran om lagstiftning till inskränkning af något, som man icke tror förekomma, måste väl anses öfverflödig.</w:t>
        <w:br/>
        <w:br/>
        <w:t>Utskottet riktar sig hufvudsakligen mot den försäljning af tobaksvaror inom restauranger och kaféer, som bedrifves från särskilda upplag eller s. k. kiosker. Om det skulle utrönas, att från dessa såldes cigarrer eller andra tobaksvaror till andra än gäster, kan innehafvaren af en sådan restaurang blifva bötfälld för olaga handel. Han kunde därjämte till och med riskera att mista sina utskänkningsrättigheter, emedan sådana rättigheter icke få innehafvas af person, som drifver annan handel. Jag tror, att detta är ett ganska verkande medel att hindra sådan olaga handel, och jag tror icke, att en innehafvare af en restaurang vill utsätta sig för en dylik risk.</w:t>
        <w:br/>
        <w:br/>
        <w:t>Slutligen vill jag erinra om, att alldeles samma fråga var före vid förlidet års riksdag och blef på lagutskottets hemställan, som då gick i motsatt riktning mot nu, afslagen af denna kammare. Jag vågar tro, att kammaren icke ändrat sin ståndpunkt i denna fråga, och tillåter mig, herr talman, att yrka afslag å utskottets hemställan och bifall till den af mig m. fl. afgifna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