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w:t>
      </w:r>
    </w:p>
    <w:p>
      <w:r>
        <w:rPr>
          <w:b/>
        </w:rPr>
        <w:t xml:space="preserve">Datum: </w:t>
      </w:r>
      <w:r>
        <w:t>1911-05-10</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Mauritz Hellberg (Liberala riksdagspartiet, man)</w:t>
      </w:r>
    </w:p>
    <w:p>
      <w:r>
        <w:rPr>
          <w:b w:val="0"/>
        </w:rPr>
        <w:t xml:space="preserve">Jag må väl kunna hoppas, herr vice talman, att det inte skall alltför illa upptagas i denna ridderliga församling, om jag i föreliggande fråga tillåter mig säga ett ord till förmån för motionen, d. v. s. till förmån för </w:t>
      </w:r>
      <w:r>
        <w:rPr>
          <w:b/>
        </w:rPr>
        <w:t>kvinnans¹</w:t>
      </w:r>
      <w:r>
        <w:rPr>
          <w:b w:val="0"/>
        </w:rPr>
        <w:t xml:space="preserve"> valbarhet till landstingsmannauppdraget.</w:t>
        <w:br/>
        <w:br/>
        <w:t xml:space="preserve">När genom 1907—1909 års rösträttsreform den kommunala </w:t>
      </w:r>
      <w:r>
        <w:rPr>
          <w:b/>
        </w:rPr>
        <w:t>kvinnliga¹</w:t>
      </w:r>
      <w:r>
        <w:rPr>
          <w:b w:val="0"/>
        </w:rPr>
        <w:t xml:space="preserve"> valbarheten utsträcktes i så väsentlig grad, undantogs ensamt det uppdraget från denna utsträckta valbarhet. Man må väl kunna fråga sig, hvarför i själfva verket ett sådant undantag gjordes. Var det därför tilläfventyrs, att de ärenden, som</w:t>
        <w:br/>
        <w:br/>
      </w:r>
      <w:r>
        <w:rPr>
          <w:b/>
        </w:rPr>
        <w:t>kvinnliga¹</w:t>
      </w:r>
      <w:r>
        <w:rPr>
          <w:b w:val="0"/>
        </w:rPr>
        <w:t xml:space="preserve"> intelligensen och erfarenheten skulle rå med dem? Eller var det tilläfventyrs därför, att landstingen bland andra uppdrag, och främst bland alla, hafva att utse riksdagsmän i Första kammaren, och att den </w:t>
      </w:r>
      <w:r>
        <w:rPr>
          <w:b/>
        </w:rPr>
        <w:t>kvinnliga¹</w:t>
      </w:r>
      <w:r>
        <w:rPr>
          <w:b w:val="0"/>
        </w:rPr>
        <w:t xml:space="preserve"> valrätt till Första kammaren, som sålunda skulle följa med landstingsmannauppdraget, kanske komme att betraktas som ett slags handpenning på, att </w:t>
      </w:r>
      <w:r>
        <w:rPr>
          <w:b/>
        </w:rPr>
        <w:t>kvinnorna¹</w:t>
      </w:r>
      <w:r>
        <w:rPr>
          <w:b w:val="0"/>
        </w:rPr>
        <w:t xml:space="preserve"> skulle få valrätt äfven till Andra kammaren? Jag vet inte, hvilkendera af dessa synpunkter, eller om tilläfventyrs någon mera gjort sig gällande, när det nämnda undantaget bestämdes.</w:t>
        <w:br/>
        <w:br/>
        <w:t xml:space="preserve">Men jag vill erinra, att det så att säga gjorts undantag från undantaget. Ty som herrarne veta, ha </w:t>
      </w:r>
      <w:r>
        <w:rPr>
          <w:b/>
        </w:rPr>
        <w:t>kvinnorna¹</w:t>
      </w:r>
      <w:r>
        <w:rPr>
          <w:b w:val="0"/>
        </w:rPr>
        <w:t xml:space="preserve"> bl. a. rätt att blifva valda till stadsfullmäktige, och detta i såväl de stora städerna som i de mindre. Det finnes t. ex. som bekant redan en del </w:t>
      </w:r>
      <w:r>
        <w:rPr>
          <w:b/>
        </w:rPr>
        <w:t>kvinnor¹</w:t>
      </w:r>
      <w:r>
        <w:rPr>
          <w:b w:val="0"/>
        </w:rPr>
        <w:t xml:space="preserve"> invalda i Stockholms stadsfullmäktige — och i förbigående sagdt lära de ha mottagits med mycken tillfredsställelse af sina manliga kolleger, det säges till och med, att förhandlingarna blifvit litet trefligare, sedan de kommit med där. Men nu ha, som herrarne veta, dessa </w:t>
      </w:r>
      <w:r>
        <w:rPr>
          <w:b/>
        </w:rPr>
        <w:t>kvinnliga¹</w:t>
      </w:r>
      <w:r>
        <w:rPr>
          <w:b w:val="0"/>
        </w:rPr>
        <w:t xml:space="preserve"> stadsfullmäktige i Stockholm ju i själfva verket, kan man säga, samma befogenhet som landstingsmän. De hafva rätt att deltaga i val af riksdagsmän till Första kammaren och äro således i denna punkt politiskt röstberättigade. Och hvad frågornas storlek och vikt beträffar, torde det väl inte vara någon som vill påstå, att inte de ärenden, som behandlas inom representationen för den jättekommun, som Stockholm utgör, äro lika viktiga och betydelsefulla och svåra som någonsin de frågor, som förekomma i landstingen. Det synes mig därför, att dessa </w:t>
      </w:r>
      <w:r>
        <w:rPr>
          <w:b/>
        </w:rPr>
        <w:t>kvinnliga¹</w:t>
      </w:r>
      <w:r>
        <w:rPr>
          <w:b w:val="0"/>
        </w:rPr>
        <w:t xml:space="preserve"> stadsfullmäktige i Stockholm i själfva verket redan fått hvad motionären vill, att samtliga </w:t>
      </w:r>
      <w:r>
        <w:rPr>
          <w:b/>
        </w:rPr>
        <w:t>kvinnor¹</w:t>
      </w:r>
      <w:r>
        <w:rPr>
          <w:b w:val="0"/>
        </w:rPr>
        <w:t xml:space="preserve"> i landet skulle kunna få. Jag har för min del de bästa föreställningar om Stockholms </w:t>
      </w:r>
      <w:r>
        <w:rPr>
          <w:b/>
        </w:rPr>
        <w:t>kvinnor¹</w:t>
      </w:r>
      <w:r>
        <w:rPr>
          <w:b w:val="0"/>
        </w:rPr>
        <w:t xml:space="preserve">, men inte sätter jag dem så högt, att jag anser, att de tillika med sina </w:t>
      </w:r>
      <w:r>
        <w:rPr>
          <w:b/>
        </w:rPr>
        <w:t>systrar²</w:t>
      </w:r>
      <w:r>
        <w:rPr>
          <w:b w:val="0"/>
        </w:rPr>
        <w:t xml:space="preserve"> i några af de större städerna böra intaga någon undantagsställning från alla andra </w:t>
      </w:r>
      <w:r>
        <w:rPr>
          <w:b/>
        </w:rPr>
        <w:t>kvinnor¹</w:t>
      </w:r>
      <w:r>
        <w:rPr>
          <w:b w:val="0"/>
        </w:rPr>
        <w:t xml:space="preserve"> i landet.</w:t>
        <w:br/>
        <w:br/>
        <w:t xml:space="preserve">Det gäller ju — det har jag anmärkt förut — endast kommunalt röstberättigade </w:t>
      </w:r>
      <w:r>
        <w:rPr>
          <w:b/>
        </w:rPr>
        <w:t>kvinnor¹</w:t>
      </w:r>
      <w:r>
        <w:rPr>
          <w:b w:val="0"/>
        </w:rPr>
        <w:t xml:space="preserve">, så det är inte något stort steg ifrågasatt. Jag vill också erinra om, att inom denna kammare för några år sedan inemot 50 röster afgåfvos för, att kommunalt röstberättigade </w:t>
      </w:r>
      <w:r>
        <w:rPr>
          <w:b/>
        </w:rPr>
        <w:t>kvinnor¹</w:t>
      </w:r>
      <w:r>
        <w:rPr>
          <w:b w:val="0"/>
        </w:rPr>
        <w:t xml:space="preserve"> skulle blifva politiskt röstberättigade. Jag tycker då inte, att det vore något synnerligen farligt steg, om man tillerkände de kommunalt röstberättigade </w:t>
      </w:r>
      <w:r>
        <w:rPr>
          <w:b/>
        </w:rPr>
        <w:t>kvinnorna¹</w:t>
      </w:r>
      <w:r>
        <w:rPr>
          <w:b w:val="0"/>
        </w:rPr>
        <w:t xml:space="preserve"> valbarhet till landstingsmän.</w:t>
        <w:br/>
        <w:br/>
        <w:t>På grund af hvad jag nu anfört skall jag be att få yrka bifall till den af herr Callerholm m. fl. vid utskottets betänkande fogade reservationen i denna punkt.</w:t>
      </w:r>
    </w:p>
    <w:p>
      <w:pPr>
        <w:pStyle w:val="Heading2"/>
      </w:pPr>
      <w:r>
        <w:t>2. Ernst Trygger (Första kammarens nationella parti, man)</w:t>
      </w:r>
    </w:p>
    <w:p>
      <w:r>
        <w:rPr>
          <w:b w:val="0"/>
        </w:rPr>
        <w:t xml:space="preserve">Det kunde synas ganska egendomligt att Om valbarhet jag nu står och försvarar ett betänkande, som icke vill tillerkänna för </w:t>
      </w:r>
      <w:r>
        <w:rPr>
          <w:b/>
        </w:rPr>
        <w:t>kvinna¹</w:t>
      </w:r>
      <w:r>
        <w:rPr>
          <w:b w:val="0"/>
        </w:rPr>
        <w:t xml:space="preserve"> till</w:t>
        <w:br/>
        <w:br/>
      </w:r>
      <w:r>
        <w:rPr>
          <w:b/>
        </w:rPr>
        <w:t>kvinnan¹</w:t>
      </w:r>
      <w:r>
        <w:rPr>
          <w:b w:val="0"/>
        </w:rPr>
        <w:t xml:space="preserve"> ökade kommunala rättigheter, då den ändring af $ 28 regeringsformen, som åstadkommits, skett på mitt initiativ. Man har visserligen sedermera låtit den frågan komma i bakvatten — men det är åtminstone icke mitt fel. Hvad emellertid den nu föreliggande frågan beträffar, skulle man ju kunna säga som herr Hellberg: hvarför skola icke </w:t>
      </w:r>
      <w:r>
        <w:rPr>
          <w:b/>
        </w:rPr>
        <w:t>kvinnorna¹</w:t>
      </w:r>
      <w:r>
        <w:rPr>
          <w:b w:val="0"/>
        </w:rPr>
        <w:t xml:space="preserve"> vara valbara till landstingsmän, när de numera äro valbara till stadsfullmäktige t. ex. Stockholm. Ja, det är ganska svårt att opponera sig mot det resonemanget ieoleradt, men orsaken, hvarför utskottet icke nu kunde slutligen pröfva det ur herr Brantings stora motion lösryckta förslaget var den, att vi hade den uppfattningen, att frågan om </w:t>
      </w:r>
      <w:r>
        <w:rPr>
          <w:b/>
        </w:rPr>
        <w:t>kvinnas¹</w:t>
      </w:r>
      <w:r>
        <w:rPr>
          <w:b w:val="0"/>
        </w:rPr>
        <w:t xml:space="preserve"> valbarhet till landstingsman lämpligen borde upptagas till pröfning i sammanhang med frågan om </w:t>
      </w:r>
      <w:r>
        <w:rPr>
          <w:b/>
        </w:rPr>
        <w:t>kvinnans¹</w:t>
      </w:r>
      <w:r>
        <w:rPr>
          <w:b w:val="0"/>
        </w:rPr>
        <w:t xml:space="preserve"> politiska rösträtt och valbarhet. Man måste väl ändå erkänna att i stort sedt, — om vi se bort ifrån de större städerna, som icke tillhöra landsting — landstinget står på ett högre plan än representationerna för de primära kommunerna, och det får väl därföre anses lämpligt, att man icke löser denna fråga isolerad.</w:t>
        <w:br/>
        <w:br/>
        <w:t>Jag ber att få yrka bifall till utskottets hemställan.</w:t>
      </w:r>
    </w:p>
    <w:p>
      <w:pPr>
        <w:pStyle w:val="Heading2"/>
      </w:pPr>
      <w:r>
        <w:t>3. Jacob Larsson (Liberala samlingspartiet, man)</w:t>
      </w:r>
    </w:p>
    <w:p>
      <w:r>
        <w:rPr>
          <w:b w:val="0"/>
        </w:rPr>
        <w:t xml:space="preserve">Det är med stor tillfredsställelse man kan fastslå att utskottets ordförande icke kunnat åberopa något principiellt skäl mot att tillerkänna </w:t>
      </w:r>
      <w:r>
        <w:rPr>
          <w:b/>
        </w:rPr>
        <w:t>kvinnan¹</w:t>
      </w:r>
      <w:r>
        <w:rPr>
          <w:b w:val="0"/>
        </w:rPr>
        <w:t xml:space="preserve"> valbarhet till landsting. Det enda skäl, som af honom anfördes, var egentligen att denna fråga bör tagas under pröfning i ett större sammanhang, att man bör taga den tillsammans med frågan om </w:t>
      </w:r>
      <w:r>
        <w:rPr>
          <w:b/>
        </w:rPr>
        <w:t>kvinnans¹</w:t>
      </w:r>
      <w:r>
        <w:rPr>
          <w:b w:val="0"/>
        </w:rPr>
        <w:t xml:space="preserve"> politiska rösträtt o. s. Vv. Ja, det är alltid så när det är någonting som men vill visa tillbaka. Kommer man med en mindre framställning, så afvisas den därmed att frågan bör lämpligast tagas i ompröfning uti ett större sammanhang, i hela sin vidd, och kommer man med frågan i hela dess vidd, tillbakavisas den vanligen med att frågan är alltför stor, alltför omfattande och alltför litet utredd, samt att man |bör gå fram på de partiella reformernas väg. Det har man gjort också i fråga om införande af rösträtt och valbarhet, vi ha ju börjat beträda de partiella reformernas väg genom att inrymma åt </w:t>
      </w:r>
      <w:r>
        <w:rPr>
          <w:b/>
        </w:rPr>
        <w:t>kvinnan¹</w:t>
      </w:r>
      <w:r>
        <w:rPr>
          <w:b w:val="0"/>
        </w:rPr>
        <w:t xml:space="preserve"> kommunal och medelbart politisk rösträtt, vi har börjat med att tillerkänna </w:t>
      </w:r>
      <w:r>
        <w:rPr>
          <w:b/>
        </w:rPr>
        <w:t>henne²</w:t>
      </w:r>
      <w:r>
        <w:rPr>
          <w:b w:val="0"/>
        </w:rPr>
        <w:t xml:space="preserve"> valbarhet i åtskilliga kommunala korporationer och nämnder. Hvarför då icke nu kunna taga ytterligare ett steg på de partiella reformernas väg, en väg som, så vidt jag kunde förstå, af den ärade utskottsordföranden godkännes eller hvars slutmål han åtminstone gillar, och tillerkänna </w:t>
      </w:r>
      <w:r>
        <w:rPr>
          <w:b/>
        </w:rPr>
        <w:t>kvinnan¹</w:t>
      </w:r>
      <w:r>
        <w:rPr>
          <w:b w:val="0"/>
        </w:rPr>
        <w:t xml:space="preserve"> valbarhet till landsting?</w:t>
        <w:br/>
        <w:br/>
        <w:t>Det var nu egentligen icke af den anledningen, som jag begärde ordet, utan det var därför, att, ehuru jag deltagit i den under littera B omförmälda motionen nr 66 1 denna kammare,</w:t>
        <w:br/>
        <w:br/>
        <w:t>jag därigenom icke ställt mig på något sätt emot den af herr Branting m. fl. väckta motionen i Andra kammaren, hvilken påyrkat, att den kommunala rösträtten skall byggas helt och fullständigt på personlighetsprincipen. Dessa båda motioner, den af herr Beckman i denna kammare framlagda och den af herr Branting i Andra kammaren framburna, stå icke på något sätt emot hvarandra, utan jag finner mig därför alldeles oförhindrad att fullständigt ansluta mig till den tanke, som bäres upp af herr Brantings motion.</w:t>
        <w:br/>
        <w:br/>
        <w:t>Det har yttrats någon gång här i denna kammare, då det var fråga om införande af den proportionella valmetoden, att den proportionella valmetoden komme att utdrifva den graderade skalan, och det är min öfvertygelse att så ock kommer att ske. Den graderade röstskalan och den proportionella valmetoden kunna icke med hvarandra förenas utan att valresultatet blifver fullständigt förryckt, och man kan icke på den vägen nå det syftemål som afses med den proportionella valmetoden, nämligen att åstadkomma en spegelbild af meningsskiftningarna inom valkorporationen, ty denna spegelbild blir i det allra hufvudsakligaste en vrångbild, därigenom att förmögenhetsprincipen tillåtes att spela in.</w:t>
        <w:br/>
        <w:br/>
        <w:t>Nu kan det ju icke falla mig in att här yrka bifall till herr Brantings motion därför att ett sådant yrkande skulle försvaga det yrkande, som af herr Hellberg framställts, och ett yrkande för att få höra denna kammares mening om den lika kommunala rösträtten torde icke vara behöfligt, ty Första kammarens mening i denna fråga är nog tillräckligt känd ändå. Jag vill därför icke nu göra något yrkande på bifall till herr Brantings motion, men jag vill här uttala, att jag fullkomligt ansluter mig till densamma och att den dag torde ligga ganska nära, då Första kammaren kommer att på allvar få debattera frågan om den lika kommunala rösträtten.</w:t>
        <w:br/>
        <w:br/>
        <w:t>Jag ber alltså att få instämma uti herr Hellbergs yrkande.</w:t>
      </w:r>
    </w:p>
    <w:p>
      <w:pPr>
        <w:pStyle w:val="Heading2"/>
      </w:pPr>
      <w:r>
        <w:t>4. Johan Fredrik Nyström (Första kammarens nationella parti, man)</w:t>
      </w:r>
    </w:p>
    <w:p>
      <w:r>
        <w:rPr>
          <w:b w:val="0"/>
        </w:rPr>
        <w:t xml:space="preserve">Jag skall börja med att få återkalla i minnet en af de omständigheter, som år 1907 var anledningen till att icke </w:t>
      </w:r>
      <w:r>
        <w:rPr>
          <w:b/>
        </w:rPr>
        <w:t>kvinnan¹</w:t>
      </w:r>
      <w:r>
        <w:rPr>
          <w:b w:val="0"/>
        </w:rPr>
        <w:t xml:space="preserve"> blef valbar till landsting, och det var det förhållande, att man genom att gifva </w:t>
      </w:r>
      <w:r>
        <w:rPr>
          <w:b/>
        </w:rPr>
        <w:t>kvinnan¹</w:t>
      </w:r>
      <w:r>
        <w:rPr>
          <w:b w:val="0"/>
        </w:rPr>
        <w:t xml:space="preserve"> denna valbarhet ansåg, att </w:t>
      </w:r>
      <w:r>
        <w:rPr>
          <w:b/>
        </w:rPr>
        <w:t>hon²</w:t>
      </w:r>
      <w:r>
        <w:rPr>
          <w:b w:val="0"/>
        </w:rPr>
        <w:t xml:space="preserve"> alltför mycket skulle ryckas från den uppgift, som då ansågs och väl ännu i dag anses vara </w:t>
      </w:r>
      <w:r>
        <w:rPr>
          <w:b/>
        </w:rPr>
        <w:t>hennes²</w:t>
      </w:r>
      <w:r>
        <w:rPr>
          <w:b w:val="0"/>
        </w:rPr>
        <w:t xml:space="preserve"> hufvudsakliga, nämligen omvårdnaden af hemmet. "Ty det kan väl icke vara meningen att gifva endast ogifta </w:t>
      </w:r>
      <w:r>
        <w:rPr>
          <w:b/>
        </w:rPr>
        <w:t>kvinnor¹</w:t>
      </w:r>
      <w:r>
        <w:rPr>
          <w:b w:val="0"/>
        </w:rPr>
        <w:t xml:space="preserve"> valbarhet utan äfven de gifta. Det har som bekant alltid sagts om </w:t>
      </w:r>
      <w:r>
        <w:rPr>
          <w:b/>
        </w:rPr>
        <w:t>kvinnans¹</w:t>
      </w:r>
      <w:r>
        <w:rPr>
          <w:b w:val="0"/>
        </w:rPr>
        <w:t xml:space="preserve"> indragande i politiken, vare sig nu den kommunala eller den allmänna, att det skulle rycka </w:t>
      </w:r>
      <w:r>
        <w:rPr>
          <w:b/>
        </w:rPr>
        <w:t>henne²</w:t>
      </w:r>
      <w:r>
        <w:rPr>
          <w:b w:val="0"/>
        </w:rPr>
        <w:t xml:space="preserve"> ifrån hemmet, men detta gäller ju i mycket mindre grad i fråga om </w:t>
      </w:r>
      <w:r>
        <w:rPr>
          <w:b/>
        </w:rPr>
        <w:t>hennes²</w:t>
      </w:r>
      <w:r>
        <w:rPr>
          <w:b w:val="0"/>
        </w:rPr>
        <w:t xml:space="preserve"> valbarhet till stadsfullmäktige. Då bor </w:t>
      </w:r>
      <w:r>
        <w:rPr>
          <w:b/>
        </w:rPr>
        <w:t>hon²</w:t>
      </w:r>
      <w:r>
        <w:rPr>
          <w:b w:val="0"/>
        </w:rPr>
        <w:t xml:space="preserve"> i sitt hem, och då behöfver </w:t>
      </w:r>
      <w:r>
        <w:rPr>
          <w:b/>
        </w:rPr>
        <w:t>hon²</w:t>
      </w:r>
      <w:r>
        <w:rPr>
          <w:b w:val="0"/>
        </w:rPr>
        <w:br/>
        <w:br/>
        <w:t xml:space="preserve">endast ägna några timmar åt stadsfullmäktiges sammanträden, Om valbarhet men om </w:t>
      </w:r>
      <w:r>
        <w:rPr>
          <w:b/>
        </w:rPr>
        <w:t>hon²</w:t>
      </w:r>
      <w:r>
        <w:rPr>
          <w:b w:val="0"/>
        </w:rPr>
        <w:t xml:space="preserve"> däremot skulle väljas till landstingsmannauppdrag, ör fina till hvilket skulle taga en vecka eller så omkring, under hvilken tid Han </w:t>
      </w:r>
      <w:r>
        <w:rPr>
          <w:b/>
        </w:rPr>
        <w:t>hon²</w:t>
      </w:r>
      <w:r>
        <w:rPr>
          <w:b w:val="0"/>
        </w:rPr>
        <w:t xml:space="preserve"> skulle hållas ifrån sitt hem, skulle utan tvifvel de flesta gifta (Forts) | </w:t>
      </w:r>
      <w:r>
        <w:rPr>
          <w:b/>
        </w:rPr>
        <w:t>kvinnor¹</w:t>
      </w:r>
      <w:r>
        <w:rPr>
          <w:b w:val="0"/>
        </w:rPr>
        <w:t xml:space="preserve"> åtminstone bland de lägre folkklasserna icke kunna åtaga sig detta uppdrag utan de största olägenheter för deras hem. Detta var ett motiv som 1907 kraftigt framhölls, hvarför det skulle vara olämpligt gifva </w:t>
      </w:r>
      <w:r>
        <w:rPr>
          <w:b/>
        </w:rPr>
        <w:t>kvinnan¹</w:t>
      </w:r>
      <w:r>
        <w:rPr>
          <w:b w:val="0"/>
        </w:rPr>
        <w:t xml:space="preserve"> valbarhet till landsting, och detta motiv synes mig ännu kvarstå med oförminskad kraft.</w:t>
        <w:br/>
        <w:br/>
        <w:t>Jag har icke annat yrkande att framställa än om bifall till utskottets hemställan.</w:t>
        <w:br/>
        <w:br/>
        <w:t xml:space="preserve">Herr Hellberg: Jag kan icke låta detta skäl mot </w:t>
      </w:r>
      <w:r>
        <w:rPr>
          <w:b/>
        </w:rPr>
        <w:t>kvinnans¹</w:t>
      </w:r>
      <w:r>
        <w:rPr>
          <w:b w:val="0"/>
        </w:rPr>
        <w:t xml:space="preserve"> valbarhet stå alldeles oemotsagdt. Jag tycker det verkligen är litet starkt att tala så där ömmande om att </w:t>
      </w:r>
      <w:r>
        <w:rPr>
          <w:b/>
        </w:rPr>
        <w:t>kvinnorna¹</w:t>
      </w:r>
      <w:r>
        <w:rPr>
          <w:b w:val="0"/>
        </w:rPr>
        <w:t xml:space="preserve"> skulle ryckas från hemmen därför att en och annan komme att inväljas i landstinget och få sitta där en 4 åa 5 dagar — det står ju för öfrigt alltid </w:t>
      </w:r>
      <w:r>
        <w:rPr>
          <w:b/>
        </w:rPr>
        <w:t>kvinnan¹</w:t>
      </w:r>
      <w:r>
        <w:rPr>
          <w:b w:val="0"/>
        </w:rPr>
        <w:t xml:space="preserve"> öppet att afsäga sig uppdraget om </w:t>
      </w:r>
      <w:r>
        <w:rPr>
          <w:b/>
        </w:rPr>
        <w:t>hon²</w:t>
      </w:r>
      <w:r>
        <w:rPr>
          <w:b w:val="0"/>
        </w:rPr>
        <w:t xml:space="preserve"> så önskar — under det att man med största lugn i världen ser på att icke blott en och annan </w:t>
      </w:r>
      <w:r>
        <w:rPr>
          <w:b/>
        </w:rPr>
        <w:t>kvinna¹</w:t>
      </w:r>
      <w:r>
        <w:rPr>
          <w:b w:val="0"/>
        </w:rPr>
        <w:t xml:space="preserve"> utan tusentals </w:t>
      </w:r>
      <w:r>
        <w:rPr>
          <w:b/>
        </w:rPr>
        <w:t>kvinnor¹</w:t>
      </w:r>
      <w:r>
        <w:rPr>
          <w:b w:val="0"/>
        </w:rPr>
        <w:t xml:space="preserve"> ryckas från sina hem och kastas in på arbetsmarknaden — jag tycker detta påminner mycket om det gamla ordspråket att »sila mygg och svälja kameler». Jag vidhåller mitt yrkande.</w:t>
        <w:br/>
        <w:br/>
        <w:t>af kommun måtte kunna utöfva rösträtt endast inom den kommun, där han vore mantalsskrifven.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