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1206</w:t>
      </w:r>
    </w:p>
    <w:p>
      <w:r>
        <w:rPr>
          <w:b/>
        </w:rPr>
        <w:t xml:space="preserve">Datum: </w:t>
      </w:r>
      <w:r>
        <w:t>1912-03-01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Albert Petersson (Lantmanna- och borgarepartiet inom andrakammaren, man)</w:t>
      </w:r>
    </w:p>
    <w:p>
      <w:r>
        <w:rPr>
          <w:b w:val="0"/>
        </w:rPr>
        <w:t>Herr talman, mina herrar! Som herrarna finna af det utdelade betänkandet,</w:t>
        <w:br/>
        <w:br/>
        <w:t>så har jag i detta ämne uttalat en skiljaktig mening och her att Ang. rätt för</w:t>
        <w:br/>
        <w:br/>
        <w:t>få något närmare redogöra för anledningen till denna skiljaktighet. Om jag därvid till en början uttalar mig ur mera principiell</w:t>
        <w:br/>
        <w:br/>
        <w:t>synpunkt och lägger mitt anförande på en något vidare, allmändop och jord-</w:t>
        <w:br/>
        <w:br/>
        <w:t>giltig bas, så beror det på, att inom lagutskottet för närvarande ligga åtskilliga andra frågor, där förhållandet med förslag om skrifvelse till Kungl. Maj:t är af enahanda beskaffenhet som nu. Och om kammaren behagade tillåta mig att nu säga dessa mina skäl, har jag sedermera icke behof af att framdeles därom taga kammarens uppmärksamhet i anspråk, utan kan då inskränka mig till att åberopa, hvad jag sagt nu.</w:t>
        <w:br/>
        <w:br/>
        <w:t>. Det medel, som Riksdagen har för framförande till Kungl. Maj:t af kraf och önskemål, och som består däri, att kamrarna aflåta skrifvelser till Kungl. Maj:t, det medlet har under senare tider blifvit allt mer och mer anlitadt, och det kan ifrågasättas, om icke det numera begagnas i en omfattning, som är ägnad att väcka åtskilliga betänkligheter. Högarna af skrifvelser ökas allt mer och mer, och svårigheterna att effektuera dem bli allt större och större. Anledningen till den ökade benägenheten att på detta sätt skrifva till Kungl. Maj:t är ganska lätt att angifva. Det väckes hvarje år massor af motioner inom båda kamrarna, och det lider väl intet tvifvel, att det allra största flertalet af dessa motioner verkligen innehåller en kärna, som det kan vara värdt att taga vara på. Det kommer sig däraf, att motionärerna hvar och en i ett visst speciellt fall fått sina ögon riktade på ett förhållande, som antagligen skulle bli bättre, om den eller den åtgärden vidtoges. Utskottet, och sedermera Riksdagen, finner det af motionären framförda förslaget värdt att uppmärksammas. Det föreslås en skrifvelse, som därefter bifalles.</w:t>
        <w:br/>
        <w:br/>
        <w:t>Om man nu skulle tänka sig, att Kungl. Maj:t ville gå till mötes alla dessa af Riksdagen sålunda uttalade önskemål på det sätt, att Kungl. Maj:t försökte inom någon rimlig, kortare tid afarbeta — om -jag får begagna det uttrycket — dessa riksdagsskrifvelser, skulle otvifvelaktigt behöfva sättas i gång ett utredningsarbete af kommittéer och sakkunniga till ett antal, som säkerligen komme att vida öfverstiga det, vi för närvarande ha. Och när sedan dessa utredningar vore färdiga och resultatet förelåge, skulle Riksdagen stå inför en så stor mångfald af ämnen och olika förslag, som med hvarandra icke ägde sammanhang, -att helt säkert här skulle höjas ganska kraftiga protester mot ett sådant förfarande.</w:t>
        <w:br/>
        <w:br/>
        <w:t>Om däremot Kungl. Maj:t fortsätter på den väg, som hittills ansetts vara den riktiga, nämligen att behandla ärendena efter en viss ämnesfördelning med hänsyn till deras inbördes sammanhang, så blir följden den, att riksdagsskrifvelserna måste läggas på hög, intill degs att samhörande ämne blir upptaget. Men om</w:t>
        <w:br/>
        <w:br/>
        <w:t>denna väg begagnas, då äro dessa riksdagsskrifvelser obehöfliga. Det är nämligen så, att, när ett ämne tages upp till behandling, så gå de, som bereda det, fullständigt igenom alla de yrkanden och uttalanden, som ha framkommit, i motionsväg eller i utskottsutlåtanden, vare sig dessa ha utmynnat i riksdagsskrifvelser eller icke.</w:t>
        <w:br/>
        <w:br/>
        <w:t>Således, menar jag, skulle dessa otvifvelaktigt i många fall berättigade och värdefulla uppslag, som göras i motionerna, lika väl komma till sin rätt och bli beaktade, om vederbörande utskott, sedan det behandlat dem och uttalat sin mening, slutat med, att motionen icke borde till någon åtgärd föranleda, som om utskottet förordat och Riksdagen beslutat en skrifvelse till Kungl. Maj:t. För min del tror jag ock, att det vore lyckligt, om riksdagsskrifvelserna i allmänhet komme att något begränsas till antalet, ty blefve de sparsammare och användes blott i sådana viktiga fall, där det verkligen funnes angeläget, att något omedelbart åtgöres, då komme de äfven att säkrare och hastigare föranleda åtgärd från Kungl. Maj:ts sida, än som nu är möjligt.</w:t>
        <w:br/>
        <w:br/>
        <w:t xml:space="preserve">Om jag nu ser på den här föreliggande frågan, så synes den mig vara just ett typiskt fall, då en riksdagsskrifvelse ifrågasättes — om herrarne behagade tillåta mig uttrycket — i oträngdt mål, ty hvad motionären och utskottet nu vill skrifva om, det är detaljfrågor i ett ämne, som redan är framlagdt för Kungl: Maj:t till behjärtande i Riksdagens skrifvelse af den 9 mars 1909. Då begärde Riksdagen, att Kungl. Maj:t ville taga under öfvervägande, under hvilka villkor det må tillåtas medlem af svenska kyrkan att äfven utan uppgifven afsikt att öfvergå till annat trossamfund utträda ur kyrkan. Och innehåller skrifvelsen äfven något mer, som jag i detta sammanhang icke behöfver uppehålla mig vid. Om jag nu vill klargöra räckvidden af denna skrifvelse, så har jag att gå tillbaka till motionerna, och finner då, att dessa kommit från mycket olika håll. Det var från håll, där man otvifvelaktigt har det mest lefvande intresse för den svenska kyrkan och vill göra allt för att främja </w:t>
      </w:r>
      <w:r>
        <w:rPr>
          <w:b/>
        </w:rPr>
        <w:t>hennes²</w:t>
      </w:r>
      <w:r>
        <w:rPr>
          <w:b w:val="0"/>
        </w:rPr>
        <w:t xml:space="preserve"> väl. Det var ock från frikyrkligt håll, där man häfdar behofvet af att i trossaker vara fri från alla tryckande och tvingande band, och det var slutligen äfven från dissentershåll, där man begärde att få vara med vid kyrkstämmorna och deltaga i afgörandet af åtskilliga ärenden, hvartill dissenters nu icke ha någon rätt. Det torde af dessa motioner framgå såsom alldeles visst, att det inom mycket: stora kretsar af vårt folk finnes en stark mening för, att en uppgörelse skall träffas, som reglerar förhållandet mellan kyrkan och staten på en vidare och friare bas, än som för närvarande är fallet och att skrifvelsen åsyftar just en sådan mera omfattande uppgörelse. I motionerna berördes då också de ämnen, som måste upptagas till behandling, då man går att lösa nämnda spörsmål och bland dessa ämnen angifvas sådana, som äro antingen närstående eller</w:t>
        <w:br/>
        <w:br/>
        <w:t>rent af sammanfallande med de frågor, om hvilka man nu vill ytterligare skrifva till Kungl. Maj:t. Jag påpekar, att det talas om, hurusom man måste gifva sig in på frågan om makars och barns konfessionella ställning; det är ju dopfrågan — och på frågan om prästerligt biträde åt utom statskyrkan stående särskildt i fråga om begrafning -— det är ju jordfästningsfrågan.</w:t>
        <w:br/>
        <w:br/>
        <w:t xml:space="preserve">Lagutskottet 1909 biträdde den uppfattningen, att frågan borde hänskjutas till Kungl. Maj:t i hela dess vidd, och utskottet gjorde detta ur dubbla synpunkter, dels af hänsyn till den enskildes rätt till full frihet i religiösa saker och dels af hänsyn till svenska kyrkans rätt att lefva sitt eget församlingslif utan störande ingripelser af för </w:t>
      </w:r>
      <w:r>
        <w:rPr>
          <w:b/>
        </w:rPr>
        <w:t>henne²</w:t>
      </w:r>
      <w:r>
        <w:rPr>
          <w:b w:val="0"/>
        </w:rPr>
        <w:t xml:space="preserve"> främmande element. Och därför uttalade också lagutskottet — och den motiveringen återfinnes 1 den skrifvelse, som redan ligger hos Kungl. Maj:t — att denna utredning måste medföra ändring i åtskilliga förhållanden, som beröra såväl det borgerliga samhället som också särskildt kyrkan.</w:t>
        <w:br/>
        <w:br/>
        <w:t>Det förefaller mig egendomligt, om man nu skulle anse önskvärdt eller nödvändigt att ytterligare påminna därom. Jag förmodar, att jag får det svaret, att i den skrifvelse, som nu ifrågasättes, vill man komma fram med riktlinjerna för den reform, som man önskar, riktlinjerna för dopfrågans och begrafningsfrågans lösning. Herrarna återfinna det på pag. 4 och 7 i utskottets betänkande — jag skall icke upptaga kammarens tid med att läsa upp det. Men då svarar jag att just detta är, såvidt jag förstår, ett skäl mot skrifvelsen, ty har Riksdagen år 1909 begärt allsidig utredning och förslag, så är det väl ganska egendomligt, att Riksdagen två år senare går till Kungl. Maj:t och säger: »&gt;Vi ha begärt en allsidig utredning om det eller det, men den utredningen och de förslagen skola läggas efter den och den riktlinjen.»</w:t>
        <w:br/>
        <w:br/>
        <w:t>Det kan då inträffa ett af de två: antingen har Riksdagen med 'det ofullständiga material, som nu föreligger för att kunna bedöma, på hvad sätt och i hvilken riktning frågan skall lösas, träffat det rätta — då visar detta, att lösningen legat så nära till hands, att Kungl. Maj:t naturligtvis gått på den bogen — eller också inträffar det, att allvarsamma invändningar resa sig mot de riktlinjer, som Riksdagen angifvit; då visar detta, att Riksdagen icke haft tillräckligt underlag för ett uttalande i ämnet. Jag tror därför, att det äfven ur denna synpunkt skulle vara lyckligast att nu nöja sig med att vänta på den behandling, som Kungl. Maj:t gifvetvis kommer att ägna dessa frågor, när Kungl. Maj:t tager upp dem på grund af 1909 års skrifvelse.</w:t>
        <w:br/>
        <w:br/>
        <w:t>Såsom ett ytterligare skäl skulle jag vilja åberopa hvad Riksdagen själf gjorde år 1908 i samma fråga som den nu föreliggande. Det var då en motionär inom denna kammare, som yrkade på en ändring i dissenterförordningen af den innebörd, att en medlem af svenska kyrkan skulle få utträda ur denna</w:t>
        <w:br/>
        <w:br/>
        <w:t>utan att gå in i annat trossamfund. Detta var eit gammalt önskemål, som många gånger blifvit framställdt och vunnit denna kammares uppmärksamhet. Lagutskottet förordade en skrifvelse af liknande lydelse med dem, som kammaren tagit flera gånger förut. Men då uppträdde här i kammaren en talare — det var nuvarande hans excellens statsministern -— som påvisade, att denna skrifvelse borde läggas på en bredare basis än utskottet och kammaren förut gått på. Man kunde icke och borde icke lösa denna fråga utan en föregående allsidig utredning. Han föreslog därför sådan formulering af skrifvelsen, att Riksdagen skulle begära, att Kungl. Maj:t ville efter allsidig utredning framlägga för Riksdagen förslag till lagstiftning om vidgad rätt till utträde ur svenska statskyrkan. Det var krafvet på den allsidiga utredningen, som då fördes fram och godkändes af denna kammare. Ar det då lämpligt eller skäligt, att kammaren nu, när denna allsidiga utredning är att vänta, tager ståndpunkt i dessa frågor och säger: »så och så skall det vara»?</w:t>
        <w:br/>
        <w:br/>
        <w:t>Jag förmodar, att någon af herrarne vill åberopa emot mig hvad som passerade — jag tror det var i fjol — då kammaren på framställning af en motionär fattade ett liknande beslut om skrifvelse angående jordfästning. Härom skulle jag vilja säga, att genom det beslutet strök kammaren under sin önskan att få denna fråga så hastigt och ingående som möjligt behandlad, naturligtvis i det sammanhang, hvari den hör hemma, d. v. 8. i sammanhang med de frågor, som i 1909 års skrifvelse beröras. Är det verkligen nödvändigt, att kammaren sätter dubbla streck under denna sin önskan?</w:t>
        <w:br/>
        <w:br/>
        <w:t>Om jag nu, medan jag har ordet, skulle försöka gå 1 botten med den här saken, så finns det ännu ett skäl att i detta fall icke besvära Kungl. Maj:t med en skrifvelse. Detta är, att motionärernas egna skäl för sina kraf synas mig vara ovanligt litet vägande. Om herrarne vilja se sidan 2 i lagutskottets utlåtande, där motionärernas framställning är refererad, så finna herrarne först hvad de säga om barndopet. Det lyder så: &gt;Ingen kan ju förmena frikyrkliga föräldrar att låta döpa sina barn af församlingsföreståndaren i den församling de tillhöra. Sådana dop förekomma ock somligstädes rätt allmänt. Dessa barn inskrifvas nu i de kyrkoböcker, som föras af det officiella prästerskapet, med anteckning om att de icke äro döpta af svenska kyrkan. Någon skada häraf lida väl barnen icke, men nog är nämnda anteckning minst sagdt en oformlighet, och borde rättelse i denna sak kunna vinnas.»</w:t>
        <w:br/>
        <w:br/>
        <w:t>Ar nu detta, mina herrar, verkligen ett så allvarsamt förhållande, att det bör föranleda Riksdagen att åter skrifva i ett ämne, som redan ligger på Kungl. Maj:ts bord?</w:t>
        <w:br/>
        <w:br/>
        <w:t>Och om vi sedan läsa, hvad motionärerna säga om jordfästningen, så är förhållandet enahanda. De konstatera, att de fri-</w:t>
        <w:br/>
        <w:br/>
        <w:t>kyrkliga äro så lojala, att de anmoda det officiella prästerskapet att förrätta jordfästningen, och att uppgörelse i regel sker i bästa samförstånd, och att allt går sin gilla gång. »Men&gt; — säga de sedan — »nog skulle det för nämnda familjer kännas bäst, om de i allo finge ordna med saken som de helst önska.&gt;</w:t>
        <w:br/>
        <w:br/>
        <w:t>Alltså intet missförhållande, inga konflikter, som påkalla ett omedelbart ingripande, hafva motionärerna haft att framdraga. Icke kan då det, som de anfört, utgöra tillräckligt skäl för en skrifvelse till Kungl. Maj:t i saken.</w:t>
        <w:br/>
        <w:br/>
        <w:t>Slutligen vill jag påpeka ännu en sak, den nämligen, att det äfven inom de frikyrkliga kretsarna finnes en ganska stark stämning emot denna motion. Jag ber härvidlag att få hänvisa till de artiklar, som varit införda i Svenska Morgonbladet — och jag tror äfven i någon annan tidning — och som äro undertecknade af lektor Waldenström, hvilken ju är erkänd som representant för ett ganska stort antal af de frikyrkliga. Jag skall icke trötta herrarne med att redogöra för dessa artiklars innebörd och de grunder, hvarpå herr Waldenström stöder sitt afstyrkande af förslaget, utan endast anmärka, att han slutar en af dessa artiklar med följande ord: »Mig synes, att det bästa de frikyrkliga motionärerna kunna göra, när deras motion förekommer i kamrarne, är att själfva yrka afslag på den.»</w:t>
        <w:br/>
        <w:br/>
        <w:t>Nu kan jag icke vänta en sådan själfuppoffring af motionärerna, att de skulle ställa sig denna herr Waldenströms uppmaning till efterrättelse, men det kanske går lika bra, ifall någon annan framställer det yrkandet — och jag skall då be att därutinnan få stå till tjänst och alltså hemställa, att motionen måtte af kammaren lämnas utan afseende.</w:t>
      </w:r>
    </w:p>
    <w:p>
      <w:pPr>
        <w:pStyle w:val="Heading2"/>
      </w:pPr>
      <w:r>
        <w:t>2. Felix Hamrin (Liberala samlingspartiet, man)</w:t>
      </w:r>
    </w:p>
    <w:p>
      <w:r>
        <w:rPr>
          <w:b w:val="0"/>
        </w:rPr>
        <w:t>Herr talman, mina herrar! Efter de långvariga debatter, som förts i kammaren i dag i olika frågor, skall jag, i hvad på mig ankommer, icke onödigtvis förlänga diskussionen angående föreliggande fråga. Jag har så mycket mindre anledning att göra detta, som jag hoppas, eller vågar uttala den förmodan, att denna kammares ståndpunkt till föreliggande kraf redan är på förhand gifven. Jag grundar detta mitt omdöme om kammarens ståndpunkt därpå, att föreliggande fråga — den del däraf, som handlar om jordfästning — varit föremål för kammarens behandling vid skilda tillfällen. Jag ber få erinra om den motion, som år 1910 väcktes af en ärad representant i denna kammare, herr Byström, hvilken motion bifölls af Andra kammaren. Frågan är således icke ny, utan den är en gengångare från gamla tider. z :</w:t>
        <w:br/>
        <w:br/>
        <w:t>Afven den andra delen af frågan, nämligen krafvet på bättre rätt och bättre skydd för så kalladt lekmannadop, har varit före i kammaren vid åtskilliga tillfällen förut. Herrarne torde erinra sig den strid, som fördes om lekmannadopet för några år tillbaka, hvilken fick sitt resultat i den förordning, som nu är gällande, om anteckning i kyrkoboken af lekmannadop. Det är denna förordning, detta sätt att anteckna de barn, som blifvit döpta af personer, hvilka icke äro prästvigda inom svenska kyrkan, som vi kalla för en oformlighet. Jag skulle kunna hänvisa till de anteckningar, som gälla mig och min egen familj, i Jönköpings församlings kyrkobok. Jag har där barn antecknade som döpta, d. v. s. döpta af svenska kyrkans prästerskap, jag har andra barn, vid hvilkas namn man finner anteckningen »&gt;»icke inom svenska kyrkan döpt», och jag har ännu andra, vid hvilkas namn icke finnes någon anteckning alls. Och dock har jag själf varit närvarande vid alla barnens dop och kan konstatera, att man i hvarje fall vid dopet gått fullt riktigt och ordentligt tillväga, så att det ena dopet, från min synpunkt sedt, måste vara lika riktigt som det andra. Det är således icke så lätt att komma ifrån det påstående vi motionärer gjort i vår motivering, att detta sätt att anteckna lekmannadop är minst sagdt en oformlighet. Jag skall icke gå in på hvilken betydelse det har för svenska med. borgare, om de äro antecknade såsom döpta inom kyrkan eller icke.</w:t>
        <w:br/>
        <w:br/>
        <w:t>Hvad vårt kraf i afseende å jordfästning beträffar, ber jag få erinra om, att jordfästningen som sådan icke har någon som helst rättslig betydelse, den är en religiös ceremoni, som utöfvas vid våra anhörigas grafvar. Det förefaller mig då mycket egendomligt, att man verkligen kan uppresa motstånd mot ett så enkelt kraf som detta, att vi, som hela vårt lif tillhört en frikyrklig församling, där hämtat vår andliga uppbyggelse och vederkvickelse samt låtit oss betjänas af frikyrkans församlingsföre-</w:t>
        <w:br/>
        <w:br/>
        <w:t>ståndare, begära den fördelen — ty vi betrakta den som en fördel — att vid våra anhörigas grafvar jämväl kunna få betjänas</w:t>
        <w:br/>
        <w:br/>
        <w:t>af vår församlings föreståndare. Nu har man här under den diskussion, som förts i denna</w:t>
        <w:br/>
        <w:br/>
        <w:t>fråga — särskildt i Första kammaren var det, som herrarne torde veta, en mycket långvarig diskussion — framhållit, hurusom det</w:t>
        <w:br/>
        <w:br/>
        <w:t>redan finnes en lag, under hvilken vi, som icke i allt kunna gilla de statskyrkliga formerna, kunnat träda och därigenom undgå hvarje beröring med statskyrkans präster. Men, mina herrar, ni känna lika väl som jag till, hurusom denna lag talar om främmande trosbekännare, om dem, som icke äro, såsom det heter i den s. k. dissenterlagens första paragraf, evangelisk-lutherska. Jag skall icke nu upptaga tiden med att framställa en definition på uttrycket evangelisk-luthersk, ty i våra dagar synes det möjligt att under detta begrepp inrangera dem, som icke ha någon religiös tro alls likaväl som dem, hvilka ha en dogmatisk bok-</w:t>
        <w:br/>
        <w:br/>
        <w:t>stafstro. Men då vi fordra denna rättighet, som i motionen angifves, så säga vi samtidigt, att vi i stort sedt gilla den religiösa öfvertygelse och gilla den uppfattning, som från statskyrkligt håll framföres. Vi äro med andra ord evangelisk-lutherska, vi såväl som statskyrkans anhängare, och vi tillåta icke, att man inrangerar oss bland dem, som kallas främmande trosbekännare.</w:t>
        <w:br/>
        <w:br/>
        <w:t>De kraf, som framföras, ha för öfrigt redan beaktats i andra länder, och det är egendomligt, att man i vårt gamla Sverige, där de religiösa rörelserna ha mycket gammalt datum, icke kommit längre på detta område, än som för närvarande är fallet. Jag skulle här kunna framdraga exempelvis huru man sökt lösa dessa frågor i vårt grannland Danmark, och jag skulle kunna åberopa förhållandena i England. I båda dessa länder har man beaktat de synpunkter, vi velat föra fram och på ett sätt, som är bättre än det man användt i Sverige, sökt lösa föreliggande spörsmål.</w:t>
        <w:br/>
        <w:br/>
        <w:t>Den ärade talare, som nyss hade ordet, herr Petersson i Lidingö villastad, har i sin reservation hänvisat till den skrifvelse, som Riksdagen 1909 aflät till Kungl. Maj:t, och han har åberopat denna skrifvelse såsom skäl för att vi icke nu skulle biträda lagutskottets hemställan. Det kan nog vara mycket vanskligt för mig, som är nykomling och en lekman, när det gäller att forska i skrifterna, att ingå på en kritik af den framställning, som vi nyss hörde, men så mycket vågar jag säga, att den anförda skrifvelsen icke har det minsta att göra med det förslag, som här är framlagdt, ty i 1909 års skrifvelse anhåller Riksdagen, att Kungl. Maj:t ville taga i öfvervägande, under hvilka former det må tillåtas medlem af svenska kyrkan att äfven utan uppgifven afsikt att öfvergå till annat trossamfund utträda ur kyrkan. Den rör sålunda dem, som vilja utträda ur svenska kyrkan och alls icke dem, som vilja stå kvar där — låt vara under de mera fria former, som vi här söka få fram.</w:t>
        <w:br/>
        <w:br/>
        <w:t>Ett annat skäl, som den ärade reservanten framfört och hvarmed han slutade sitt anförande, är att det reses motstånd från framstående frikyrkligt håll gentemot våra kraf, och han åberopade i det fallet en mycket framstående frikyrklig man, lektor Waldenström. Jag vågar gentemot detta uttalande göra den invändningen, att Andra kammaren helt säkert icke tar direktiv från än så framstående håll, när det som här är fallet är en person utanför denna församling. Då man för öfrigt granskar de skäl, som herr Waldenström haft för sin mening, finner man att det är hufvudsakligen tvenne. Först och främst anvisar han den utvägen för de frikyrklige att låta församlingsföreståndaren vid grafven nedkalla välsignelse öfver den döde samt att där sjunga och tala efter behag -— sedan kan prästen få komma til. grafven och utföra sina ceremonier där. Detta är det ena skälet han drar fram mot vårt kraf. Ett annat skäl, som den gode</w:t>
        <w:br/>
        <w:br/>
        <w:t>lektorn framhåller och synes lägga stor vikt vid och som Jag icke kan underlåta att i förbigående påpeka, är, att han själf icke skulle få den rättighet, som man vill tillerkänna de frikyrkliga församlingsföreståndarne.</w:t>
        <w:br/>
        <w:br/>
        <w:t>För öfrigt, hvad man än kan säga om motiveringen till det förslag, som här i motionen blifvit framlagdt, så hoppas jag, att hvar och en, som funnit anledning framställa anmärkningar mot denna motivering och den kläm, hvartill vi kommit, skall låta sina betänkligheter fara inför det sakliga och utomordentligt väl affattade utlåtande, som lagutskottet här afgifvit, och till hvilket Jag med största nöje och på samma gång med synnerlig tacksamhet mot lagutskottet för den välvilliga behandling motionen inom detsamma fått röna, ber att få ansluta mig.</w:t>
        <w:br/>
        <w:br/>
        <w:t>Hvilket beslut vi än fatta i dag i föreliggande spörsmål, kan det icke blifva annat än en opinionsyttring från Andra kammaren. Nu veta vi, såsom jag förut i förbigående antydde, att de frikyrklige haft sitt säkra stöd i Andra kammaren under gångna tider, och jag hoppas, att detta icke skall svika i framtiden. Första kammaren har redan fattat sitt beslut, och det är betecknande för hur långt man kommit i 1912 års Första kammare, att beslutet om afslag fattades med blott tre rösters majoritet.</w:t>
        <w:br/>
        <w:br/>
        <w:t>Ett uttalande — helst så kraftigt som möjligt — från denna kammare kan visserligen icke hindra att frågan faller — men</w:t>
        <w:br/>
        <w:br/>
        <w:t>den faller på ett sådant sätt, som bådar en lycklig lösning vid ett kommande tillfälle.</w:t>
        <w:br/>
        <w:br/>
        <w:t>På anförda skäl ber jag att få yrka bifall till lagutskottets hemställan.</w:t>
      </w:r>
    </w:p>
    <w:p>
      <w:pPr>
        <w:pStyle w:val="Heading2"/>
      </w:pPr>
      <w:r>
        <w:t>3. Anders Isaksson (Lantmanna- och borgarepartiet inom andrakammaren, man)</w:t>
      </w:r>
    </w:p>
    <w:p>
      <w:r>
        <w:rPr>
          <w:b w:val="0"/>
        </w:rPr>
        <w:t xml:space="preserve">Herr talman, mina herrar! Jag vill åtminstone låta herrarna veta, att det icke är alla religiösas önskan, att motionen skall bifallas. Till hvilken klass jag nu skall räknas bland de i motionen nämnda, vet jag icke. Där står taladt om &gt;den officiella kyrkan och </w:t>
      </w:r>
      <w:r>
        <w:rPr>
          <w:b/>
        </w:rPr>
        <w:t>hennes²</w:t>
      </w:r>
      <w:r>
        <w:rPr>
          <w:b w:val="0"/>
        </w:rPr>
        <w:t xml:space="preserve"> tjänare.» Dit hör jag naturligtvis icke, ty jag är icke präst. Där talas vidare om de »frikyrklige» och »okyrklige&gt;, dit hör jag icke, ty jag är kyrkligt sinnad, men jag hör dock till de religiösa, och jag vill åtminstone inför kammaren betona, att det icke är alla religiösas önskningar, som tagit sig uttryck i motionen.</w:t>
        <w:br/>
        <w:br/>
        <w:t>Här säga motionärerna, att den tiden är förliden, då statskyrkans officiella representanter sågo de frikyrkliga riktningarna med oblida ögon. Är då det att beklaga, att den tiden är förbi, så att vi nu skola skapa en sådan tid igen? Må vi icke då i stället — foga oss under de förhållanden, som vi nu lefva i? Det fanns en tid, när de religiösa behöfde tigga om smulor i frihetsväg, då de icke fingo samlas kring bibeln och Luthers skrifter. Då behöfde man be om frihet, men nu ha vi fått så mycket frihet; att vi behöfva börja känna ansvar och betacka oss för allt</w:t>
        <w:br/>
        <w:br/>
        <w:t>för mycket frihet. Friheten måste ha en gräns, annars öfvergår den till ett själfsvåld, som kan medföra träldom. Man bör väl också tänka på de hundratals präster, som skulle komma under ett slags lekmannatvång, om våra förrättningar skulle likställas med kyrkliga förrättningar.</w:t>
        <w:br/>
        <w:br/>
        <w:t>Vi ha ju rättighet att döpa, och det är bara anteckningen om dopet, som motionärerna ogilla. Nu antecknar prästen, om dopet förrättas af en lekman: »Icke af svenska kyrkan döpt.&gt; Ar det lämpligt att han gör någon annan anteckning, när icke han, den ansvarige ämbetsmannen, har förrättat dopet? Dopet har ju icke förlorat i betydelse därigenom — det säga också motionärerna. Men nu vilja de upphöja handlingen till en kyrklig handling. Det må väl vara en oformlighet, men jag kan icke i de nuvarande förhållandena se någon oformlighet.</w:t>
        <w:br/>
        <w:br/>
        <w:t>Det är redan sagdt beträffande begrafning, att om vi i sorgehuset få läsa, bedja och tala hur mycket vi vilja, och när vi komma till kyrkan — om vi icke vilja, behöfva vi icke se prästen förr än då — utför han i regel under vördnad jordfästningen enligt vår lutherska kyrkas ritual. Nå, är det något synnerligen stötande däri? Sedan han utfört den officiella jordfästningen, få vi ju läsa, bedja och sjunga hur mycket vi vilja. Men om det skulle vara så, att prästen skulle fara ut i otidigheter mot de församlade, ja, då har man ju den utvägen, som lektor Waldenström anvisat: man behöfver icke ha honom med flera gånger. Nästa gång begrafning skall försiggå, kan man ordna saken med prästen så, att om begrafningen skall äga rum t. ex. kl. 5, kunna vi samlas kl. 3 och läsa, bedja och sjunga; och när prästen sedan skall utföra den handling, som ankommer på honom, kan det ske i närvaro af endast några få personer, som äfven närvara, då grafven igenfylles. Då blir man icke störd af prästen; detta under förutsättning af att denne verkligen vill ingripa störande, hvilket väl ändå torde få anses höra till undantagen.</w:t>
        <w:br/>
        <w:br/>
        <w:t>Men, mina herrar, låtom oss tänka på saken äfven ifrån en annan sida. Vi få, om det skulle blifva den lagen, själfva begrafva våra döda. En af våra kära vänner inom missionsföreningen är död; vi samlas i sorgehuset, vi sakna honom, men vi ha hopp, att han är hemma hos Herren. En allvarlig stämning är rådande; antag att vi så komma till kyrkogården; där kommer en annan procession under röda fanor och sänker sin kista i graföppningen bredvid. Så utfar förtroendemannen eller någon annan af dessa isbitterhet mot oss, och kallar oss vidskepliga, emedan vi tro på de dödas uppståndelse och dylikt, som han kallar galenskaper — religionen är, säger han, bara en täckmantel för orena bevekelsegrunder för mammonsdyrkan, såsom det sades här i kammaren för två dagar sedan. »Samvetsömheten är endast mammonsömhet.&gt; Skulle icke månne det störa den religiösa känslan mer än att träffa prästen, som under vördnad och gudsfruktan utför</w:t>
        <w:br/>
        <w:br/>
        <w:t>begrafningen? Men skola då också dessa antydda ha rätt själfva begrafva? Naturligtvis! Skall den ene ha rättighet, så måste väl den andra ha rättighet. Och om dessa verkligen kunna tänkas lida af kyrkligt tvång, så böra väl icke de religiösa i vår tid lida däraf; utan de, som skulle lida af kyrkligt tvång, det må väl vara ateister och deras själsfränder. Om från det hållet skulle komma en motion angående rätt för dem att fritt ordna med de sinas begrafning, då ställde sig saken annorlunda. De ville naturligtvis icke ha det till svenska kyrkans gärning, utan det blefve nog en statens gärning. De ville nog icke ha sina döda liggande i den af kyrkans tjänare vigda jorden, utan de</w:t>
        <w:br/>
        <w:br/>
        <w:t>ville nog hafva sin begrafningsplats för sig själfva. — Nå, däri vore de i sin fulla rätt. — Jag skulle anse det sorgligt, om en</w:t>
        <w:br/>
        <w:br/>
        <w:t>sådan motion komme före, ty det skulle vittna om att afkristningen gått långt. Men en sådan motion vet jag icke, om jag kunde sätta mig emot. Att den däremot kommer från religiöst håll, förvånar mig. Då det därjämte i utskottets yttrande framhålles, att »den allmänna uppfattningen» är för saken, vill jag på det kraftigaste protestera däremot.</w:t>
        <w:br/>
        <w:br/>
        <w:t>Vi ha redan hört, att föreståndaren för det största missionssällskapet i vårt land, svenska missionsförbundet, har sagt om motionärerna, att det bästa de kunna göra, när motionen kommer före, är att yrka afslag på sin egen motion. Predikanten i en frikyrkoförsamling här i Stockholm, J. N. Norberg, säger ock, att det vore till föga nytta att vinna motionens syfte, hvaremot åtskilligt ansvar skulle följa med dess förverkligande. Fosterlandsstiftelsen, en af de största missionsföreningarna i vårt land med sina öfver 200 predikanter, är afgjordt emot bifall till en sådan motion. Själf representerar jag också en missionsförening, som icke är så liten; dess verksamhetsområde sträcker sig från några mil söder om Kalmar och upp till Lappland, Gellivare, från Östersjön och ner till Skåne, Göteborg och Västergötland — naturligtvis omfattar icke föreningen på långt när hvarje socken inom nämnda område — men den består af omkring 150 missionskretsar; det är Östra Smålands missionsförening. I denna förenings tjänst har jag rest i 33 år som predikant, och jag känner därför stämningen. Vi äro fria i vår verksamhet, vi verka inom kyrkans lagliga former, men icke blott det utan ock inom hofsamhetens former. Men icke ha vi blifvit hindrade i vår verksamhet. Och dessa tusenden, af hvilka denna förening består, äro afgjordt emot det här framställda förslagets antagande.</w:t>
        <w:br/>
        <w:br/>
        <w:t>Jag har icke velat såra de religiösa med hvad jag nu sagt, men jag önskar, att de må tänka på de följder, som ett bifall till motionen skulle föra med sig. Då dessa enligt min öfvertygelse skulle komma att blifva mycket sorgliga, så ber jag, herr talman, att få yrka afslag både å utskottets hemställan och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1206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