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1233</w:t>
      </w:r>
    </w:p>
    <w:p>
      <w:r>
        <w:rPr>
          <w:b/>
        </w:rPr>
        <w:t xml:space="preserve">Datum: </w:t>
      </w:r>
      <w:r>
        <w:t>1913-02-22</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Emil Molin (–, man)</w:t>
      </w:r>
    </w:p>
    <w:p>
      <w:r>
        <w:rPr>
          <w:b w:val="0"/>
        </w:rPr>
        <w:t>Herr talman! Den fråga, som här föreligger, är icke ny, utan har varit föremål för Riksdagens behandling icke mindre än sex gånger, sedan det nya representationsskicket genomfördes. Första gången var det 1867, då frågan framfördes av den förutvarande representanten från min hembygd P. O. Hörnfeldt; andra gången 1872 av Johannes Jonson; vidare åren 1873 och 1874 av Pehr Nilsson; femte gången 1889 av N. Hansson i Berga och sjätte gången 1895 av O. G. Erikson i Övra Odensvi och A. P. Gustafsson. Samtliga motionärerna voro lantmän.</w:t>
        <w:br/>
        <w:br/>
        <w:t>Såsom utskottet anfört, var giftorätten i 1845 års förordning erkänd endast i stadsfastighet, men icke i landsfastighet, som före äktenskapet förvärvats. År 1884 skrev Riksdagen till Kungl. Maj:t och ville bland annat, att denna skillnad skulle upphävas. Icke så, att stadsrätten blev gällande för landet, utan tvärtom.</w:t>
        <w:br/>
        <w:br/>
        <w:t>Det har roat mig att forska efter, vilka motiv, som legat till grund för denna Riksdagens skrivelse och om det icke då fanns någon opposition mot den nya principen. Jag tror mig bäst kunna motivera min egen ståndpunkt i denna fråga genom att citera några enligt mitt förmenande framsynta mäns yttranden år 1884. En representant, J. E. Ericsson i Alberga, yttrade bland annat: »Det förefaller mig, att förslaget i detta moment, i stället för att innebära ett steg framåt, snarare är ett återgångssteg. Vi veta alla, att på landet gäller just den lag, som enligt lagutskottets förslag i föredragna moment skulle komma att tillämpas även i städerna.&gt; Och vidare sade han: »Det förefaller mig ock vara orättvist att på det sättet skilja mellan egendom och egendom. Jag kan nämligen icke finna, att fast egendom har större betydelse numera än lös egendom. » En annan ärad talare vid detta tillfälle var greve Sparre. Han säger: »— den talare, som först hade ordet, visade ganska tydligt, hur just det stadgande, som här föreslagits, skall leda till trassel och mycket besynnerliga förhållanden, förhållanden, som, om de skola lösas i enlighet med vad nu är föreslaget, otvivelaktigt skola leda till rent av orättvisor. Att makarne för närvarande icke hava giftorätt till varandras fasta egendom på landet kommer, såsom herrarne veta,</w:t>
        <w:br/>
        <w:br/>
        <w:t>av vår gamla odalinstitution, där jorden var släktens och således ej genom gifte kunde få överflyttas på annan släkt; jorden tillhörde släkten och skulle således gå inom släkten. Detta är grunden till den skiljaktighet, som finnes i lagen angående fast egendom på landet och i städerna i fråga om makars giftorätt. Att överflytta en skiljaktighet, som stöder sig på en redan antikverad, redan försvunnen rättsprincip, på fast egendom i stad, synes mig icke kunna försvaras. Snarare skulle jag önska, att man ej bibehölle den skiljaktighet, som råder i fråga om den fasta egendomen på landet, emedan den icke äger någon grund. Men att överflytta denna så att säga grundlösa skiljaktighet på fast egendom i stad, detta kan enligt min uppfattning icke försvaras.&gt; Greve Sparre hade flera anföranden, som jag trots den långt framskridna tiden dristar mig citera. Han säger vidare: »Jag önskar visserligen, att vi skola förändra lagstiftningen i fråga om makars egendomsförhållanden, men jag vill, att denna lagförändring skall ske i överensstämmelse med tidsandan, och att man icke skall, genom tillämpning av grundsatser, som för flera hundra år sedan försvunnit, införa egendomsprinciper, vilka ursprungligen varit stiftade för helt andra förhållanden, d. v. s. att man icke skall på stadsfastighet överflytta de grundsatser, som, under det vi hade odalförfattningar, gällde i fråga om fast egendom och sedermera kvarstå såsom en kvarleva av dessa helt och hållet antikverade förhållanden. Man har sagt, att den fasta egendomen skulle vara den väsentligaste, och därför borde man företrädesvis fästa sig vid den. Jag ber då att till en början få fråga herrarne: är stadsfastigheten för stadsboarne den väsentligaste egendomen? Tvärt om; den lösa egendomen har numera emot den fasta intagit en sådan ställning i fråga om avliden mans bo, att den, med undan-</w:t>
        <w:br/>
        <w:br/>
        <w:t>tag för befolkningen på landet, utgör den väsentligaste egendomen. '</w:t>
        <w:br/>
        <w:br/>
        <w:t xml:space="preserve">Då förhållandet är sådant, är det då riktigt att, i fråga om en liten del av denna egendom, ty stadsfastigheter äro en mindre betydande del deravy — åtminstone för stadsboarne — är det riktigt, säger jag, att på denna del överflytta principer, som äro antikverade, och sålunda öka tvisterna mellan sterbhusdelägare, tvister av sådan beskaffenhet, som den förste talaren ganska riktigt anförde. Detta är icke en tidsenlig lagstiftning; det är att gå tillbaka, i stället för framåt, det är att intrassla förhållandena just där man behöver den allra största enkelhet.&gt; Han säger vidare i en liten passus: »Man har slutligen såsom skäl för förändringen både här och i lagutskottet framhållit faran utav, att mannen skulle kunna spoliera och sälja något av egendomen. Men den faran har jag velat förekomma just därigenom, att i skrivelse till Kongl. Maj:t skulle anhållas om ett förslag, som tillgodosåge gift </w:t>
      </w:r>
      <w:r>
        <w:rPr>
          <w:b/>
        </w:rPr>
        <w:t>kvinnas¹</w:t>
      </w:r>
      <w:r>
        <w:rPr>
          <w:b w:val="0"/>
        </w:rPr>
        <w:t xml:space="preserve"> rätt och bästa. På detta sätt förekommes denna fara, men ingalunda genom att i lagen införa en grundsats, som i tillämpningen visat sig fullkomligt oanvändbar och endast medför obehag och bråk.&gt; Vidare hade en annan talare, Magnus Andersson, ett yttrande, däri jag såsom lantman särskilt måste</w:t>
        <w:br/>
        <w:br/>
        <w:t xml:space="preserve">instämma. Han sade: »Jag har egentligen velat här framhålla, att, så vitt jag vet och enligt min erfarenhet, den allmänna meningen bland landets befolkning hyllar egendomsgemensamhet. Då en person, som icke har fast egendom, gifter sig med någon, som har sådan, det må nu vara man eller </w:t>
      </w:r>
      <w:r>
        <w:rPr>
          <w:b/>
        </w:rPr>
        <w:t>kvinna¹</w:t>
      </w:r>
      <w:r>
        <w:rPr>
          <w:b w:val="0"/>
        </w:rPr>
        <w:t xml:space="preserve">, hava de alltid visat sig, i min hemort åtminstone, synnerligen angelägna om att ställa så till, att den egendom, som eljest lagligen skulle vara den enes enskilda egendom, göres till gemensam, antingen genom äktenskapsförord eller ett fingerat köp eller åtminstone, om annan utväg icke givits, genom testamente. Många hava icke kunskap om, huru lagen i sådant fall varit beskaffad, och hava då icke kunnat vidtaga sådana åtgärder, men alltid har jag i sådant fall hört dem djupt beklaga, att de icke förut haft kännedom om förhållandet, och när de fått reda på det, hava de alltid, som sagt, visat sig synnerligen angelägna att åtminstone genom upprättande av inbördes testamente kringgå lagens stadgande. Men detta är icke alltid det lämpligaste; var och en vet, huru mycket trassel uppkommer genom testamenten, men de måste göra det för att få egendomen gemensam.» Så säger han vidare: »I den ort, där jag har mitt hemvist och där jag varit med om många, väl hundratals boutredningar, har min erfarenhet alltid varit, att folket hyllat egendomsgemensamhet makar emellan och städse sökt få sådan, där den eljest icke skulle lagligen ägt rum. Jag vill icke nu göra något bestämt yrkande, vare sig för det ena eller andra, men jag har velat framhålla, att under den långa tid, jag haft med dylika saker att göra, har min erfarenhet varit, att allmänna meningen avgjort varit för egendomsgemensamhet.» Till sist vill jag citera endast några rader. Herr Gumeelius anförde: »Det är dock underligt, att en sådan åsikt, som ju förfäktar ytterligare en sorts fideikommissrätt i fast egendom, en sådan rätt för släkten, kan framkomma i samma tid, som man alltmer och mer börjar anse, att allt vad fideikommissrätt heter bör afskaffas. Man skulle tvärt om härav vilja draga den slutsats, att allt, som för närvarande är i större eller mindre mån fideikommissartat, borde försvinna. Då lika arvsrätt för </w:t>
      </w:r>
      <w:r>
        <w:rPr>
          <w:b/>
        </w:rPr>
        <w:t>kvinnan¹</w:t>
      </w:r>
      <w:r>
        <w:rPr>
          <w:b w:val="0"/>
        </w:rPr>
        <w:t xml:space="preserve"> infördes, så infördes den först i städerna och sedan i den övriga delen av landet; nu däremot vill man gå i motsatt riktning; nu vill man, att därför, att en inskränkning i arvsrätten äger rum på landet, därför skall inskränkningen utsträckas även till städerna. Jag kan icke vara med om detta.»</w:t>
        <w:br/>
        <w:br/>
        <w:t>Lagutskottet har förmenat, att utvecklingen går i den riktningen, att egendomsgemensamheten i äktenskapet mer och mer kommer att försvinna. Jag vågar påstå, att så icke är förhållandet. Tvärt om gälla än i dag de yttranden, som representanterna vid 1834 års riksdag fällde, att de allra flesta makar ha egendomsgemensamhet och att i de fall, då så icke kan ske genom att vederbörande före äktenskapet förvärvat fast egendom, man kringgår lagen om den enskildes äganderätt till fastighet på det sättet, att den make, som äger den fasta egendomen, skänker hälften därav till sin blivande make.</w:t>
        <w:br/>
        <w:br/>
        <w:t>Endast de, som äro okunniga om detta förhållande, underlåta att göra det, och med representanterna vid 1884 års riksdag tror jag man måste erkänna, att många obehag uppkommit genom denna okunnighet.</w:t>
        <w:br/>
        <w:br/>
        <w:t>Dessa kringgåenden av lagen åstadkomma också betydliga kostnader för landsbygdens befolkning, kostnader, som icke äro att förakta. Det skall vara stämpelbeläggning av köpebrev, och protokoll och lagfartsbevis skola lösas vid häradsrätterna för att egendomen skall kunna bli gemensam. Samma är givetvis förhållandet i städerna. Jag vill också påpeka, att den lag, som vi ha, icke följer den allmänna regeln, att egendomsgerienskap råder inom äktenskapen, utan endast presumerar undantagsfallen, och mig synes, att lagen bör lämpa sig efter regeln och icke efter undantagen.</w:t>
        <w:br/>
        <w:br/>
        <w:t>Jag undrar, mina herrar, huru juristerna tänkt sig de yttersta konsekvenserna av ett fullt genomförande av egendomsskiljaktighet makar emellan. Är det verkligen meningen att ställa det så, att makarne för att undgå att i framtiden bliva antastade av släktingar för »förskingring», då endera maken dör, skola mellan sig upplägga fullständig bokföring för att skilja mellan mitt och ditt? Jag hoppas, att en sådan princip icke må vinna fotfäste i lagstiftningen.</w:t>
        <w:br/>
        <w:br/>
        <w:t>Lagutskottet har sagt, att verkningarna av den påyrkade utsträckningen av giftorätten skulle, endast under de av mig framhållna omständigheter, bliva till förmån för den efterlevande maken, »varemot en sådan lagändring i allmänhet skulle för denne medföra en sämre ställning än enligt nu gällande lag.» Jag har icke kunnat förstå denna passus eller vari denna sämre ställning skulle komma att bestå. Jag har förgäves sökt uppkonstruera fall, då ställningen skulle bliva sämre, men har ännu icke lyckats och anhåller därför att om möjligt få angivet något exempel, som visar, att en sådan sämre ställning för make, som det här är fråga om, skulle inträda.</w:t>
        <w:br/>
        <w:br/>
        <w:t xml:space="preserve">I min motion har jag av glömska uraktlåtit att omnämna ett förhållande, som synes mig synnerligen viktigt särskilt i tider, då det synes vara fråga om att alldeles upphäva giftorätten. Det är barnens rätt. Antag, att en man har en enskild fastighet, som utgör så gott som hela förmögenheten, är gift och har barn samt att </w:t>
      </w:r>
      <w:r>
        <w:rPr>
          <w:b/>
        </w:rPr>
        <w:t>hustrun²</w:t>
      </w:r>
      <w:r>
        <w:rPr>
          <w:b w:val="0"/>
        </w:rPr>
        <w:t xml:space="preserve"> dör. I detta fall bliva barnen utan arvsrätt, och jag frågar herrarne, om herrarna anse det rätt, att barnen icke få ärva modern det ringaste. Vi draga ut de yttersta konsekvenserna. Mannen gifter om sig och får flera barn, och mannen ställer det så, att fastigheten blir gemensam. Då bli barnen i det första giftet synnerligen vanlottade. Kan det anses vara förenat med billighet och rättvisa, att så sker? Tager man bort giftorätten, som den moderna juridiken vill, så kommer detta att leda till sådana konsekvenser för barnen, som jag här omtalat.</w:t>
        <w:br/>
        <w:br/>
        <w:t>Givetvis är denna fråga mycket invecklad och jag är den förste att erkänna, att mycket behöver ändras icke endast i frågan om giftorätten, utan också i många andra avseenden.</w:t>
        <w:br/>
        <w:br/>
        <w:t>Jag vill till den kraft och verkan det hava kan få till protokollet antecknat ett uppslag till reformprogram i det här avseendet. Jag önskar,</w:t>
        <w:br/>
        <w:br/>
        <w:t>att lagstiftningen på familjerättens område lämpar sig efter de hävdvunna reglerna, som allmännast tillämpas i det levande livet, och ej efter undantagen,</w:t>
        <w:br/>
        <w:br/>
        <w:t>att giftorätten alltså utsträckes att gälla jämväl fast egendom, som före äktenskapet förvärvats eller som under äktenskapet genom arv tillfaller endera maken,</w:t>
        <w:br/>
        <w:br/>
        <w:t>att i följd därav barnens rätt till hälften av makarnes bo vid endera makens frånfälle erkännes,</w:t>
        <w:br/>
        <w:br/>
        <w:t>att lagen om äktenskapsförord fortfarande bibehålles,</w:t>
        <w:br/>
        <w:br/>
        <w:t>Tilläggas bör, att jag anser rättvisan kräva, att efterlevande make i äktenskap utan barn blir universalarvinge, dock med rätt för mannen att på testamentsvägen förfoga över hälften av boet. I äktenskap, då det åter finnes bröstarvingar, bör efterlevande maken ärva hälften och barnen andra hälften och rätten att genom testamente bortskänka något högst väsentligt inskränkas. Att ingå äktenskap borde enligt allt sunt förnuft också medföra ekonomiska förpliktelser.</w:t>
        <w:br/>
        <w:br/>
        <w:t xml:space="preserve">Reformsträvandena i fråga om makarnes egendomsförhållanden ha, enligt vad riksdagstrycket utvisat, haft till syfte att åt gift </w:t>
      </w:r>
      <w:r>
        <w:rPr>
          <w:b/>
        </w:rPr>
        <w:t>kvinna¹</w:t>
      </w:r>
      <w:r>
        <w:rPr>
          <w:b w:val="0"/>
        </w:rPr>
        <w:t xml:space="preserve"> bereda en starkare rättslig ställning. Jag vågar påstå, att de lagar, som med detta mål i syfte åstadkommits, icke i ringaste mån berett </w:t>
      </w:r>
      <w:r>
        <w:rPr>
          <w:b/>
        </w:rPr>
        <w:t>kvinnan¹</w:t>
      </w:r>
      <w:r>
        <w:rPr>
          <w:b w:val="0"/>
        </w:rPr>
        <w:t xml:space="preserve"> starkare ställning, utan snarare försämrat densamma. Jag tror, att lagstiftarne ensidigt sett på sådana fall, då mannen förstört </w:t>
      </w:r>
      <w:r>
        <w:rPr>
          <w:b/>
        </w:rPr>
        <w:t>kvinnans¹</w:t>
      </w:r>
      <w:r>
        <w:rPr>
          <w:b w:val="0"/>
        </w:rPr>
        <w:t xml:space="preserve"> förmögenhet, och icke kommit att tänka på de övriga konsekvenser, som den godtagna principen i fråga om egendomsförhållandena makarne emellan eljest skulle medföra.</w:t>
        <w:br/>
        <w:br/>
        <w:t>Jag glömde, då jag citerade anföranden ur riksdagsprotokollen, att nämna, att vid 1898 års riksdag, då Kungl. Maj:ts proposition framkom med anledning av riksdagsskrivelsen av år 1884, var det en framsynt ledamot i Första kammaren, herr Unger, vilken reagerade mot den princip, som man då var i färd med att fastslå. Jag skall endast tillåta mig att läsa upp några rader av vad han yttrade i sin reservation till första särskilda utskottets utlåtande, nämligen följande: :</w:t>
        <w:br/>
        <w:br/>
        <w:t>»Vidkommande därefter spörsmålet om makars giftorätt 1 bo och den med avseende därå av Kungl. Maj:t och av utskottet föreslagna ändringen av 10 kap. 2 $ giftermålsbalken, 1 syfte att jämväl fastighet i stad, före eller under äktenskapet ärvd eller förut förvärvd, skulle, liksom hittills fastighet på landet, vara enskild egendom, så må jag för min del förklara, att jag anser den lagstiftning, som åsyftar inskränkning av äkta makars egendomsgemensamhet, gå 1 orätt riktning, enär sådan lagstiftning, som mindre vårdar sig om samhällets sedliga rot, familjen, än om individen och hans särskilda ekonomiska intressen, och som kastar in i familjen anledningar till split och kiv om mitt och ditt, därigenom, enligt mitt förmenande, hindrar eller försvårar ernåendet av de ideella uppgifter, familjen har att fylla. Med sådana åsikter skulle jag naturligtvis helst önska en lag, som i regel fastsloge allmän egendomsgemensamhet inom äktenskapet, likväl med utvidgad eller underlättad rätt att, genom äktenskapsförord eller annat avtal, eller genom boskillnad åvägabringa särskiljande av makarnas egendom, där skäliga anledningar därtill förefunnes. »</w:t>
        <w:br/>
        <w:br/>
        <w:t>Hans yttrande är härvidlag till punkt och pricka överensstämmande med min åsikt 1 saken.</w:t>
        <w:br/>
        <w:br/>
        <w:t>Vid betänkandet är fogad en reservation av herrar Lindhagen och Lindqvist. Det synes mig, som om denna reservation, som är mycket välvilligt stämd mot motionen, mera fäste sig vid behovet än vid rätten. Emellertid vill jag yrka bifall till herrar Lindhagens och Lindqvists reservation, men med den ändring, att orden »under sin livstid för sitt skäliga livsuppehälle&gt;» strykas och likaså orden »arvsrätt i eller rätt till avkomst från» utgå, och slutyrkandet erhåller följande lydelse:</w:t>
        <w:br/>
        <w:br/>
        <w:t>Jag vill tillägga, att denna slutkläm icke är precis överensstämmande med min åsikt i saken, men jag yrkar ändå bifall till reservationen i denna form, därför, att om Andra kammaren skulle godkänna reservationen i den formen, så vore enligt mitt förmenande första skottet skjutet mot den i alla avseenden omoraliska principbyggnad, som våra jurister hittills uppbyggt. Det vore ett ord i sin tid. Lagberedningen, som, efter det frågan förhalats i tio år, först i år kan bliva i tillfälle att ingå på giltermålsbalken, skulle därigenom få ett litet direktiv, som visade, att den här principen, att äkta makar icke skola ha egendomsgemensamhet, kan leda till oerhörda absurditeter och att det sålunda inte längre duger att, såsom Riksdagen 1903 framhöll, bygga lagstiftningsarbetet på de bestående grunderna.</w:t>
        <w:br/>
        <w:br/>
        <w:t>Jag ber, herr talman, att få yrka bifall till reservationen i den nyss upplästa formen.</w:t>
      </w:r>
    </w:p>
    <w:p>
      <w:pPr>
        <w:pStyle w:val="Heading2"/>
      </w:pPr>
      <w:r>
        <w:t>2. Johan Widen (Utan partibeteckning, man)</w:t>
      </w:r>
    </w:p>
    <w:p>
      <w:r>
        <w:rPr>
          <w:b w:val="0"/>
        </w:rPr>
        <w:t xml:space="preserve">Herr talman, mina herrar! Jag hade icke tänkt, att man här skulle behöva något vidare uppehålla sig vid själva motionen, utan att vad man här egentligen skulle tala om var den vid utskottisbetänkandet fogade reservationen. Nu har emellertid motionären mest uppehållit sig vid det yrkande, han gjort i motionen, och jag nödgas därför också gå något in på densamma. Jag skall då, i anledning av vad han sade, be att få säga, att, oaktat allt vad han däremot anförde, det dock är så, att utvecklingen på äktenskapslagstiftningens område under de senare åren gått i en riktning motsatt den, vari hans motion går. Riktningen har ju varit den, att man velat i lagstiftningen, 1 syfte att minska tillfällena för mannen att förstöra </w:t>
      </w:r>
      <w:r>
        <w:rPr>
          <w:b/>
        </w:rPr>
        <w:t>hustruns²</w:t>
      </w:r>
      <w:r>
        <w:rPr>
          <w:b w:val="0"/>
        </w:rPr>
        <w:t xml:space="preserve"> i boet införda egendom, inskränka mannens förvaltningsrätt och även inskränka giftorätten; jämväl på sistnämnda väg har man velat åstadkomma, att </w:t>
      </w:r>
      <w:r>
        <w:rPr>
          <w:b/>
        </w:rPr>
        <w:t>hustruns²</w:t>
      </w:r>
      <w:r>
        <w:rPr>
          <w:b w:val="0"/>
        </w:rPr>
        <w:t xml:space="preserve"> rättsställning i boet stärkes och förbättras. Det är också detta, som av utskottet framhållits; och det torde i fråga härom vara nog att säga, att Riksdagen icke nu lär vara mycket benägen till att stryka ett streck över den utveckling, i vilken lagstiftningen, under de senaste 30 åren åtminstone, gått.</w:t>
        <w:br/>
        <w:br/>
        <w:t>Vad nu reservationen beträffar, till vilken motionären yrkat bifall, d. v. s. med en viss ändring av den där föreslagna klämmen, vilken förändring dock synes mig icke innebära någonting i sak, så torde nog reservationen innehålla ett riktigt uppslag; men det synes mig dock vara nödvändigt, att Riksdagen litet mera ser detta förslag i sömmarna, innan den skriver till Kungl. Maj:t och säger, att den vill ha det så. En sådan skrivelse är för övrigt helt och hållet onödig, ty som vi se, har lagberedningen i sitt program just fästat uppmärksamheten på de missförhållanden, som reservationen vill avhjälpa. På sid. 4 1 utlåtandet anför utskottet det uttalande, som i detta avseende gjorts av de delegerade från de tre nordiska länderna, där det ställes i utsikt en sådan anordning, »att vid äktenskapets upplösning bägge makarnas behållna egendom sammanslås till en massa, varav hälften tillfaller vardera maken eller dess successorer.&gt; Där är ju visserligen i mycket allmänna drag lagberedningens program framlagt. Det är därför icke sagt, att det blir just precis på det sätt, som dessa delegerade uttryckt saken, men så mycket se vi, att frågan är eller blir föremål för prövning vid beredningen av den nya lagstiftningen. Det är visserligen ett annat sätt, på vilket man där tänkt sig lägga saken, än reservanterna gjort. Men utan allt tvivel kommer även frågan om efterlevande makes arvsrätt, som reservationen i sin ursprungliga form framhöll, att därvidlag komma under övervägande. Det är sålunda alldeles onödigt, att Riksdagen</w:t>
        <w:br/>
        <w:br/>
        <w:t>nu ger sig in på detta ämne, och det synes mig också vara det lugnaste, att Riksdagen ser tiden an och låter lagberedningen, som väl i allt fall, även om det blir bifall till reservationen, får saken om hand, taga saken under det övervägande, den sagt sig skola göra.</w:t>
        <w:br/>
        <w:br/>
        <w:t xml:space="preserve">Nu kan jag emellertid icke annat än reagera emot en särskild punkt i reservationen, den nämligen, där man vill framhålla, att motionären i sin motion pekat på förhållanden, som man alls icke kände till förut, och vill räkna honom det som en så synnerligen stor förtjänst. För min del har jag länge nog känt till sådana förhållanden, och det har helt visst lagstiftningen också gjort, fastän man under de gångna 30 åren ansett viktigast att såvera </w:t>
      </w:r>
      <w:r>
        <w:rPr>
          <w:b/>
        </w:rPr>
        <w:t>hustruns²</w:t>
      </w:r>
      <w:r>
        <w:rPr>
          <w:b w:val="0"/>
        </w:rPr>
        <w:t xml:space="preserve"> ställning i boet, så att icke mannen skulle få tillfälle förstöra den egendom, som tilläventyrs kunde finnas i boet, och ställa så till, att det intet blev kvar. Det har man ansett, såsom det också synes mig med rätta, som det angelägnaste. Men att man även haft blicken öppen för här påpekade förhållanden, det framgick bland annat av de yttranden från 1884 års riksdag, som motionären läste upp. Detta framgår också av de skandinaviska delegerades, av lagutskottet citerade yttrande, som just avser att råda bot på sådana missförhållanden, som i motionen påpekas.</w:t>
        <w:br/>
        <w:br/>
        <w:t>Jag skall, herr talman, inskränka mig till detta och be att få yrka bifall till utskottets hemställan.</w:t>
      </w:r>
    </w:p>
    <w:p>
      <w:pPr>
        <w:pStyle w:val="Heading2"/>
      </w:pPr>
      <w:r>
        <w:t>3. Carl Lindhagen (Socialdemokraterna, man)</w:t>
      </w:r>
    </w:p>
    <w:p>
      <w:r>
        <w:rPr>
          <w:b w:val="0"/>
        </w:rPr>
        <w:t>Jag undrar, om man icke kan säga, att det visat sig, att snålheten bedrager visheten, då man försökt vinna tid genom att sätta ut tiden för plenums början till klockan 1, då listan är full av ämnen. Följden är den, att vi befinna oss vid avgörandet av en så viktig fråga som den föreliggande ungefär i samma läge som vid en riksdagsupplösning; det är nu som då: ingen har tid att egentligen intressera sig för vad som är före. Emellertid, oaktat alla kammarens ledamöter äro hungriga och vänta på att få äta middag, har motionären varit i sin goda rätt, då han upptagit herrarnas tid och ingått på sitt ämne. De synpunkter, som motionären framhöll, bjuda nog på ett uppslag, som i tidernas längd kommer att göra sig hört på många sätt. Vi komma nog icke ifrån dessa synpunkter.</w:t>
        <w:br/>
        <w:br/>
        <w:t xml:space="preserve">Jag skulle sedan till en början vilja säga, att jag fortfarande håller på, att det är något nytt, motionären uppdragit för oss jurister, nämligen att vår redan genomförda lagstiftning medfört sådana överraskande dåliga konsekvenser, därför att man ej iakttagit det reservanterna ifrågasatt. Ty då man genomförde den lagstiftning, som nu gäller, där, särskilt i fråga om fastighet, egendom, som förut varit gemensam, blivit enskild, så har man icke haft ögonen öppna för, att även dessa partiella förändringar kunde medföra dessa oriktiga konsekvenser, utan man har varit glad över att på detta sätt kunna trygga </w:t>
      </w:r>
      <w:r>
        <w:rPr>
          <w:b/>
        </w:rPr>
        <w:t>hustruns²</w:t>
      </w:r>
      <w:r>
        <w:rPr>
          <w:b w:val="0"/>
        </w:rPr>
        <w:t xml:space="preserve"> rätt att behålla sin egendom under egen förvaltning i livstiden. Men hade man haft ögonen öppna för, att en sådan lag-</w:t>
        <w:br/>
        <w:br/>
        <w:t>stiftningsåtgärd medfört dessa konsekvenser, hade man naturligtvis samtidigt även vidtagit de försiktighetsmått, som nu av reservanterna ifrågaställts. Det har man icke gjort; det är därför bättre, att man gör det, hellre sent än aldrig.</w:t>
        <w:br/>
        <w:br/>
        <w:t xml:space="preserve">Nu anser herr Widén, att det är onödigt att göra detta, och att det är lugnast för kammaren att icke vidtaga sådana åtgärder nu. Varför det? Jo, därför, att lagberedningen sagt, att den kommer kanske i en framtid att föreslå det systemet. Då skulle den även komma med sådana garantier. Men för de äkta män och äkta </w:t>
      </w:r>
      <w:r>
        <w:rPr>
          <w:b/>
        </w:rPr>
        <w:t>hustrur²</w:t>
      </w:r>
      <w:r>
        <w:rPr>
          <w:b w:val="0"/>
        </w:rPr>
        <w:t xml:space="preserve">, som icke ha någon fast egendom, det vill säga då den ene maken har det, men den andre icke, och den make, som har fastighet, dör, för dem är det väl icke onödigt, att under väntetiden på en blivande lagstiftning man vidtager nödiga förändringar och förbättringar. Vad ha dessa </w:t>
      </w:r>
      <w:r>
        <w:rPr>
          <w:b/>
        </w:rPr>
        <w:t>hustrur²</w:t>
      </w:r>
      <w:r>
        <w:rPr>
          <w:b w:val="0"/>
        </w:rPr>
        <w:t xml:space="preserve">, som stå på bar backe vid mannens död, vad ha de gamla utsläpade män, som ställas på bar backe vid </w:t>
      </w:r>
      <w:r>
        <w:rPr>
          <w:b/>
        </w:rPr>
        <w:t>hustruns²</w:t>
      </w:r>
      <w:r>
        <w:rPr>
          <w:b w:val="0"/>
        </w:rPr>
        <w:t xml:space="preserve"> död, för nytta av att vänta? År det onödigt att hjälpa dem?</w:t>
        <w:br/>
        <w:br/>
        <w:t>Jag kan icke förstå detta resonemang. Fastän det är fåfängt att i politiken anlägga dylika synpunkter, såsom jag funnit numera, skall man väl ändå söka hjälpa människor ur deras betryck. Det, som nu här föreligger, säger man vara onödigt. Huvudsaken är, att man får en formellt vacker lagstiftning i framtiden. Under tiden får livet göra sin gärning; de, som drabbas av bristerna, dem får det gå hur illa som helst. Det är kanske lugnast för kammaren att icke sysselsätta sig med denna sak, men det är icke lugnt för dem, som lida av förhållandena och som stå där utan att få någon hjälp. Vad ha de för nytta av det lugn, som herr Widén vill breda ut över kammarens ledamöter? De kanske få bli kvar i sin olyckliga ställning, just därför att herr Widén uppmanat till detta lugn. |</w:t>
        <w:br/>
        <w:br/>
        <w:t>Nu ha reservanterna därför tyckt, att det är ett förträffligt uppslag, motionären kommit med, ett ord i sinom tid, och att man bör göra någonting och icke endast avvakta de stora perspektiven. Själv har motionären kommit med något, som har sitt betydande intresse — ehuru jag dock icke vet, om jag kan till fullo instämma med honom — då han kommit med ett helt och hållet nytt system. Det är mycket ovanligt, att en icke-jurist kommer med en så skarp kritik över ett juridiskt system.</w:t>
        <w:br/>
        <w:br/>
        <w:t xml:space="preserve">Hur har han då tänkt sig saken? Jo, förut ha vi haft egendomsgemenskap under mannens målsmansskap, men nu skulle vi få ställa full myndighet för </w:t>
      </w:r>
      <w:r>
        <w:rPr>
          <w:b/>
        </w:rPr>
        <w:t>hustrun²</w:t>
      </w:r>
      <w:r>
        <w:rPr>
          <w:b w:val="0"/>
        </w:rPr>
        <w:t xml:space="preserve"> och därjämte ha enskild egendom för båda två. Nu säger motionären: att detta är ett felaktigt system. Man skall icke upphäva den kollektiva egendomen, där den finnes — det är bra, om det finns kollektiv egendom — utan man skall giva </w:t>
      </w:r>
      <w:r>
        <w:rPr>
          <w:b/>
        </w:rPr>
        <w:t>hustrun²</w:t>
      </w:r>
      <w:r>
        <w:rPr>
          <w:b w:val="0"/>
        </w:rPr>
        <w:t xml:space="preserve"> full myndighet och bibehålla kollektivegendomen. Men man skall icke tillåta, att ena parten får förfoga över den kollektiva egendomen ensidigt utan den andras samtycke. Uppkommer oenighet mellan makarna, får man tillämpa lagen om samäganderätt och för det fallet upphäva egendomsgemenskapen.</w:t>
        <w:br/>
        <w:br/>
        <w:t xml:space="preserve">Detta är någonting, som är förtjänt att uppmärksammas. Motionären har därför nu med skärpa vänt sig även mot reservanternas motivering, och det kan han vara i sin fulla rätt till och med den uppfattning han har. För att göra </w:t>
      </w:r>
      <w:r>
        <w:rPr>
          <w:b/>
        </w:rPr>
        <w:t>hustrun²</w:t>
      </w:r>
      <w:r>
        <w:rPr>
          <w:b w:val="0"/>
        </w:rPr>
        <w:t xml:space="preserve"> fri, upphäva vi egendomsgemenskapen. Det kan komma nya strömningar, då man kanske säger: I den föregående tiden hava vi upphävt egendomsgemenskapen. Låt oss nu åter införa denna egendomsgemenskap, men på andra grunder, så att båda makarna bliva fullt myndiga. Det kan hända, att man i framtiden kan taga upp herr Molins program, men jag är icke mogen därför ännu. Jag måste tills vidare arbeta i samma riktning som nu, ehuru jag känner på mig, att det ligger något väsentligt i motionärens kritik. Jag är därför icke misslynt över de ord, som han fällt över reservanternas motivering. Jag ber emellertid att få yrka bifall till reservationen med den ändrade lydelse, som föreslagits av motionären, sedan efter samtal med talmannen överenskommits att av honom ifrågasatt propositionsvägran icke behöver befaras. Jag är alltså ense med motionären i det av honom framställda yrkandet.</w:t>
      </w:r>
    </w:p>
    <w:p>
      <w:pPr>
        <w:pStyle w:val="Heading2"/>
      </w:pPr>
      <w:r>
        <w:t>4. Jakob Pettersson (Liberala riksdagspartiet, man)</w:t>
      </w:r>
    </w:p>
    <w:p>
      <w:r>
        <w:rPr>
          <w:b w:val="0"/>
        </w:rPr>
        <w:t>Icke heller jag är det ringaste misslynt över motionärens hårda ord. Men jag är uppkallad av den näst föregående ärade talarens påstående, att motionen skulle vara intressant och vägledande. Jag har svårt att låta bli att inlägga en gensaga mot förutsägelsen, att framtiden däri skulle finna något att taga vara på.</w:t>
        <w:br/>
        <w:br/>
        <w:t xml:space="preserve">Herrarna ha förmodligen läst motionen. Jag skall därför icke läsa upp den i dess helhet, utan endast rekapitulera det huvudsakliga av dess innehåll. Motionären säger till en början, att våra nu gällande äktenskapslagar från moralisk synpunkt lämna mycket övrigt att önska, särskilt därutinnan, att de icke »motsvara den humanitet i uppfattningen om </w:t>
      </w:r>
      <w:r>
        <w:rPr>
          <w:b/>
        </w:rPr>
        <w:t>kvinnans¹</w:t>
      </w:r>
      <w:r>
        <w:rPr>
          <w:b w:val="0"/>
        </w:rPr>
        <w:t xml:space="preserve"> rättsliga och sociala ställning, som numera, glädjande nog, gör sig gällande». Och det kan han nog ha rätt i, det vill jag icke bestrida. Sedan säger motionären i fortsättningen, att dessa äktenskapslagar äro en »genant kvarleva från den barbariska tid, då </w:t>
      </w:r>
      <w:r>
        <w:rPr>
          <w:b/>
        </w:rPr>
        <w:t>kvinnan¹</w:t>
      </w:r>
      <w:r>
        <w:rPr>
          <w:b w:val="0"/>
        </w:rPr>
        <w:t xml:space="preserve"> ansågs för något slags lägre varelse eller inventarium bland mannens öfriga tillhörigheter». Det är nog ganska hårda ord, detta, men det är möjligt, att det ligger en viss sanning även i dem, fastän uttrycken kanske äro något överdrivna. Därefter fortsätter motionären: »Tydligast framträder denna kvarleva i det enligt nutidsuppfattning rättsvidriga, att </w:t>
      </w:r>
      <w:r>
        <w:rPr>
          <w:b/>
        </w:rPr>
        <w:t>hustrun²</w:t>
      </w:r>
      <w:r>
        <w:rPr>
          <w:b w:val="0"/>
        </w:rPr>
        <w:t xml:space="preserve"> ej i och med giftermålet erhåller giftorätt i fastigheter, som mannen före äktenskapet förvärvat. &gt; Här tar motionären fel, ty det kan nog ej råda något befogat tvivel därom, att det för </w:t>
      </w:r>
      <w:r>
        <w:rPr>
          <w:b/>
        </w:rPr>
        <w:t>kvinnan¹</w:t>
      </w:r>
      <w:r>
        <w:rPr>
          <w:b w:val="0"/>
        </w:rPr>
        <w:t xml:space="preserve"> nedsättande i de nuvarande äktenskapslagarna förnämligast ligger däri, att </w:t>
      </w:r>
      <w:r>
        <w:rPr>
          <w:b/>
        </w:rPr>
        <w:t>hon²</w:t>
      </w:r>
      <w:r>
        <w:rPr>
          <w:b w:val="0"/>
        </w:rPr>
        <w:t xml:space="preserve"> icke har rätt att råda över sin egendom, att </w:t>
      </w:r>
      <w:r>
        <w:rPr>
          <w:b/>
        </w:rPr>
        <w:t>hon²</w:t>
      </w:r>
      <w:r>
        <w:rPr>
          <w:b w:val="0"/>
        </w:rPr>
        <w:t xml:space="preserve"> icke har full myndighet, men icke däri att </w:t>
      </w:r>
      <w:r>
        <w:rPr>
          <w:b/>
        </w:rPr>
        <w:t>hon²</w:t>
      </w:r>
      <w:r>
        <w:rPr>
          <w:b w:val="0"/>
        </w:rPr>
        <w:t xml:space="preserve"> ej får giftorätt i all fast egendom. Så talar motionären om, att det ibland händer,</w:t>
        <w:br/>
        <w:br/>
        <w:t xml:space="preserve">att, när av de båda makarna mannen dör och han har enskild egendom, </w:t>
      </w:r>
      <w:r>
        <w:rPr>
          <w:b/>
        </w:rPr>
        <w:t>hustrun²</w:t>
      </w:r>
      <w:r>
        <w:rPr>
          <w:b w:val="0"/>
        </w:rPr>
        <w:t xml:space="preserve"> får ingenting, ifall de icke gjort testamentariska dispositioner. Och slutligen förklarar han: »Vad här ovan sagts om </w:t>
      </w:r>
      <w:r>
        <w:rPr>
          <w:b/>
        </w:rPr>
        <w:t>kvinnan¹</w:t>
      </w:r>
      <w:r>
        <w:rPr>
          <w:b w:val="0"/>
        </w:rPr>
        <w:t xml:space="preserve">, gäller i tillämpliga delar även mannen.» Jag har läst denna rad många gånger både för sig och i sammanhang med det föregående och grubblat och grubblat över vad dessa ord kunna betyda, men jag får erkänna, att jag icke lyckats komma till någon klarhet härutinnan. Jag vill därför nu fråga motionären själv: menar han, att våra äktenskapslagar från moralisk synpunkt lämna mycket övrigt att önska även därutinnan, att de icke motsvara vår tids uppfattning i fråga om mannens rättsliga och sociala ställning? Eller menar han, att äktenskapslagarna äro en genant kvarleva från den barbariska tid, då även mannen ansågs som en lägre varelse eller ett inventarium bland </w:t>
      </w:r>
      <w:r>
        <w:rPr>
          <w:b/>
        </w:rPr>
        <w:t>hustruns²</w:t>
      </w:r>
      <w:r>
        <w:rPr>
          <w:b w:val="0"/>
        </w:rPr>
        <w:t xml:space="preserve"> övriga tillhörigheter? Eller kanske han menar, att denna genanta kvarleva från en barbarisk tid tydligast framträder däruti, att mannen genom giftermålet icke får giftorätt i all </w:t>
      </w:r>
      <w:r>
        <w:rPr>
          <w:b/>
        </w:rPr>
        <w:t>hustruns²</w:t>
      </w:r>
      <w:r>
        <w:rPr>
          <w:b w:val="0"/>
        </w:rPr>
        <w:t xml:space="preserve"> egendom?</w:t>
        <w:br/>
        <w:br/>
        <w:t>Nu skulle det ju kunna tänkas, att motionens yrkande vore riktigt, fastän motiveringen icke är lätt att komma underfund med. Men vad yrkandet beträffar, som går ut på att utsträcka makars giftorätt till att gälla all fast egendom, har ju även herr Lindhagen, som eljest velat se så mycket gott som möjligt i motionen, icke kunnat biträda detsamma.</w:t>
        <w:br/>
        <w:br/>
        <w:t>För min del kan jag icke vara med om vare sig motionärens eller reservanternas yrkande. Såsom skäl för denna min hållning vill jag endast åberopa vad lagutskottets ordförande nyss anfört i frågan. Vad särskilt reservationen beträffar, så menar jag, att herr Lindhagens tal om motionärens överraskande uppslag bör få stå för hans egen räkning. Det må vara herr Lindhagens rätt att själv bli överraskad så mycket som helst. Men han borde kunna nöja sig med att deklarera sin egen överraskning och icke uttala någon sådan för andras räkning, då han i själva verket torde vara ganska ensam om att finna något nytt eller bärande i ifrågavarande uppslag. Jag ber att få yrka bifall till utskottets hemställan.</w:t>
      </w:r>
    </w:p>
    <w:p>
      <w:pPr>
        <w:pStyle w:val="Heading2"/>
      </w:pPr>
      <w:r>
        <w:t>5. Carl Lindhagen (Socialdemokraterna, man)</w:t>
      </w:r>
    </w:p>
    <w:p>
      <w:r>
        <w:rPr>
          <w:b w:val="0"/>
        </w:rPr>
        <w:t xml:space="preserve">Jo, jag tycker, att det är riktigt, att motionären icke bara uppträtt som ren feminist, utan tillagt, att »vad här ovan sagts om </w:t>
      </w:r>
      <w:r>
        <w:rPr>
          <w:b/>
        </w:rPr>
        <w:t>kvinnan¹</w:t>
      </w:r>
      <w:r>
        <w:rPr>
          <w:b w:val="0"/>
        </w:rPr>
        <w:t xml:space="preserve">, gäller i tillämpliga delar även mannen». Ty om det är </w:t>
      </w:r>
      <w:r>
        <w:rPr>
          <w:b/>
        </w:rPr>
        <w:t>hustrun²</w:t>
      </w:r>
      <w:r>
        <w:rPr>
          <w:b w:val="0"/>
        </w:rPr>
        <w:t xml:space="preserve">, som har egendom, och </w:t>
      </w:r>
      <w:r>
        <w:rPr>
          <w:b/>
        </w:rPr>
        <w:t>hon²</w:t>
      </w:r>
      <w:r>
        <w:rPr>
          <w:b w:val="0"/>
        </w:rPr>
        <w:t xml:space="preserve"> dör förut, så står mannen utan någonting. Det är lika synd om honom som om </w:t>
      </w:r>
      <w:r>
        <w:rPr>
          <w:b/>
        </w:rPr>
        <w:t>hustrun²</w:t>
      </w:r>
      <w:r>
        <w:rPr>
          <w:b w:val="0"/>
        </w:rPr>
        <w:t xml:space="preserve"> i motsvarande fall. Det är bara denna enkla sak, som motionären velat säga, och jag tycker, att den föregående talaren icke behövt därav taga sig anledning att komma med ett sådant bollspel och kritisera detta enkla erkännande av mannens rätt. Vad som överraskat mig, är, att, när detta partiella lagstiftningsarbete pågått, ingen jurist tänkt på att förena det med en bestämmelse, som kunde förekomma de av motionären påpekade olägenhe-</w:t>
        <w:br/>
        <w:br/>
        <w:t>terna. Men det kommer man nog aldrig ifrån, att de förr eller senare skola komma till uttryck i själva lagstiftningen.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1233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