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195</w:t>
      </w:r>
    </w:p>
    <w:p>
      <w:r>
        <w:rPr>
          <w:b/>
        </w:rPr>
        <w:t xml:space="preserve">Datum: </w:t>
      </w:r>
      <w:r>
        <w:t>1913-03-29</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Gustaf Lagerbjelke (Första kammarens nationella parti, man)</w:t>
      </w:r>
    </w:p>
    <w:p>
      <w:r>
        <w:rPr>
          <w:b w:val="0"/>
        </w:rPr>
        <w:t>Då den förste talaren i sitt anförande icke ingått på själva sakfrågan, men den andre talaren gjort det och hade en annan uppfattning än reservanterna, anser jag mig böra ingå på sakfrågan. Jag kan emellertid inskränka mig till att erinra, att när vederbörande särskilda utskott förra året avstyrkte en motion i samma syfte som den nu avgivna, skedde detta på den grund, att utskottet</w:t>
        <w:br/>
        <w:br/>
        <w:t xml:space="preserve">förklarade, alt motionärernas framställning syntes »stödja sig på en, enligt utskottets förmenande, helt och hållet uppkonstruerad och felaktig föreställning därom, att det nyligen meddelade förbudet mot användande av </w:t>
      </w:r>
      <w:r>
        <w:rPr>
          <w:b/>
        </w:rPr>
        <w:t>kvinnor¹</w:t>
      </w:r>
      <w:r>
        <w:rPr>
          <w:b w:val="0"/>
        </w:rPr>
        <w:t xml:space="preserve"> till nattarbete inom vissa industriella företag skulle, såsom en konsekvens eller gärd av rättvisa, kräva, att jämväl männen förbjödes arbeta nattetid». Utskottet fortsätter vidare: »Ej heller förekommer nattarbete häri landet i anmärkningsvärd utsträckning», och slutade med att säga, att »en tendens att ytterligare inskränka detta arbete förefinnes inom industrien».</w:t>
        <w:br/>
        <w:br/>
        <w:t>Då dessa skäl enligt min uppfattning fortfarande gälla, får jag, herr talman, yrka bifall till reservationen.</w:t>
        <w:br/>
        <w:br/>
        <w:t>attplocka skogsbär å annans mark.</w:t>
      </w:r>
    </w:p>
    <w:p>
      <w:pPr>
        <w:pStyle w:val="Heading2"/>
      </w:pPr>
      <w:r>
        <w:t>2. Johan Nilsson (Första kammarens nationella parti, man)</w:t>
      </w:r>
    </w:p>
    <w:p>
      <w:r>
        <w:rPr>
          <w:b w:val="0"/>
        </w:rPr>
        <w:t>Föreliggande fråga bör, synes det mig, betraktas ur både principiella och praktiska synpunkter. I avseende på de principiella har man nog på många håll den uppfattningen, att föreliggande motioner i frågan om tillgodogörande av skogsbären avse att införa en helt ny princip i vår lagstiftning och rättsskipning. Även såsom lekman kan man emellertid våga det påståendet, att denna uppfattning är alldeles grundfalsk. Jag vågar tvärtom påstå, att den uppfattningen, att skogsbären tillhöra ägaren av den mark, på vilken de växa, är lika gammal som lagen. Den åskådningen, att skogsbären skulle vara undandragna enskild äganderätt, grundar</w:t>
        <w:br/>
        <w:br/>
        <w:t>Om inskränksig, såvitt jag kan se, endast och allenast på den omständigheten,</w:t>
        <w:br/>
        <w:br/>
        <w:t>ning i rätten attplockaskogsbör å annans mark. (Forts.)</w:t>
        <w:br/>
        <w:br/>
        <w:t>att i strafflagens 24 kap. 3 $ skogsbären icke uttryckligen omnämnas bland de på viss mark förekommande äganderättsobjekten, som genom denna paragraf blivit fredade. Skulle man emellertid följa den principen, att vad som i lagen icke uttryckligen nämnes såsom fredat åt den enskilde är gemensam egendom, kommer man till underliga och alldeles omöjliga konsekvenser. Ingen lagparagraf kan uppräkna alla de otaliga föremålen för enskild äganderätt, och skulle vad som icke preciseras blott på denna grund anses vara frigivet till allmän skövling, skulle det skydd för äganderätten, som lagen uppställer, bliva i hög grad illusoriskt.</w:t>
        <w:br/>
        <w:br/>
        <w:t>En god belysning av hur frågan om skogsbären förhåller sig till de i 3 $ specificerade äganderättsobjekten finner man, om man jämför denna paragraf med den efterföljande 4 8. Där säges: »Tager man olovligt vindfälle eller annat sådant, som ej till bruk upphugget eller berett är» etc. I en not till denna paragraf i den Uppströmska lageditionen omnämnes, att enligt flera prejudikat, det äldsta av 1874 och det senaste av 1891, har under denna paragraf hänfört sten och tång. Sten och tång omnämnes emellertid icke i lagtexten såsom skyddade. Varför? Naturligtvis emedan man, då lagtexten skrevs, icke kunde föreställa sig, att sten och tång skulle få något egentligt värde, vadan man icke tänkte på, att dessa föremål också kunde behöva omnämnas. Men domstolarna ha i alla fall ansett, att sten och tång, när dess besittning kunde anses värdefull, i enlighet med lagstiftningens anda och allmänna rättsbegrepp borde tillerkännas lagens skydd. Alldeles på samma sätt förhåller det sig med skogsbären. Lagtextens författare ha icke tänkt sig, att skogsbären kunde få något egentligt värde utöver det arbete, som krävdes för deras tillvaratagande, och därför omnämndes icke skogsbären i den 1 lagtexten införda specifikationen. Men lagens mening har otvivelaktigt varit, att, om och när skogsbären i sig själva erhölle något värde, markägaren också ägde dem likaväl som sten och tång å marken, vilka ej heller omnämnas. Mot denna jämförelse kan, såvitt jag kan se, endast göras den invändningen, att i den 4 $ står: »eller annat» och att uttrycket »eller annat» således lämnar rum att där inlägga speciella föremål, som icke särskilt nämnts i texten, under det att något sådant tillägg icke förekommer i 3 $. Det omnämnda tillägget i 4 8 synes mig emellertid bestyrka uppfattningen, att skogsbären också äro föremål för lagens skydd i stället för att jäva denna uppfattning. Om sten är »upphuggen», d. v. &amp; på något sätt bearbetad av markägaren, eller om tång är upplagd i högar och beredd för användning till gödningsämnen, så är utan vidare klart, att markägaren, om han verkställt detta arbete, också åtnjuter lagens skydd för sin egendom. Likaså torde utan vidare vara klart, att om genom markägarens försorg skogsbär blivit plockade och till äventyrs för tillfället upplagda på marken, så är det envar annan förbjudet att tillgodogöra sig dem. Uttrycket i 4 $: »som ej upp-</w:t>
        <w:br/>
        <w:br/>
        <w:t>hugget eller berett är» avser att skydda även de produkter av mar- Om inskränk-</w:t>
        <w:br/>
        <w:br/>
        <w:t>ken, som icke blivit på nämnda sätt föremål för ägarens omsorger, och då det är förbjudet för annan än markägaren, fastän den särskilda produkten icke uttryckligen omnämnes i lagtexten, att samla upp tång, som ligger kringströdd och uppkastad av vågorna på någons mark, följer väl därav alldeles klart, att detsamma måste gälla om bären, som växt på marken.</w:t>
        <w:br/>
        <w:br/>
        <w:t>Kort sagt: lagens mening är, synes det mig, att i jordägarens ägo trygga alla naturprodukter av värde, som finnas på hans mark. Lagstiftarne ha av naturliga skäl icke kunnat specificera alla sådana naturprodukter, utan åtnöjt sig med att nämna dem, som enligt den tidens förhållanden hade värde; men principen har varit, att allt av värde, som jorden frambragt eller som är en del av jorden, hör jordägaren till. När lagskipningen genom prejudikat erkänt denna princip om en naturprodukt, tången, som blott tillfälligtvis befinner sig på en jordägares mark, synes det mig så mycket självklarare, att denna princip skall tillämpas på skogsbären.</w:t>
        <w:br/>
        <w:br/>
        <w:t>För såvitt jag vet, föreligger icke något prejudikat i avseende på skogsbärens tillvaratagande av annan person än markägaren. Jag kan för min del icke se annat, än att då domstolarna tillerkänt markägaren den på hans mark uppkastade tången, så måste konsekvensen medföra, att domstolarna skulle göra sammaledes med skogsbären, som växa på marken. Det är således icke egentligen en ny lag vi begära, utan snarare ett förtydligande av lagen, och allra minst är det en ny princip vi vilja införa i lagstiftningen. Skulle den lagtolkning, som tillspillogiver skogsbären till allmän skövling, bliva av Riksdagen fastslagen genom avslag på min föreliggande motion, är det mer än sannolikt, att domstolarna skola finna sig föranlåtna att följa samma tillvägagångssätt i avseende på tång och alla andra markprodukter, som icke uttryckligen äro i lagtexten omnämnda.</w:t>
        <w:br/>
        <w:br/>
        <w:t>Så ställer sig frågan för mig ur principiell synpunkt. Jag vill dock gärna medgiva, att denna fråga först och främst bör ses ur praktisk synpunkt. Den enda egentliga invändning, som ur praktisk synpunkt gjorts mot förslagen till uttryckligt lagskydd för skogsbären, är ju den, att en sådan lagstiftning skulle vara till skada för de fattiga icke-jordägare, som skulle hindras att tillgodogöra sig den inkomst, som kan vinnas genom bärplockning på andras mark, och den skulle vara nationalekonomiskt skadlig genom att en massa skogsbär skulle få ruttna bort utan att bliva tillvaratagna. Det skall gärna medgivas, att invändningen vid hastigt påseende förefaller mycket berättigad, ja, rent av avgörande. Men för det första bör komma i betraktande, att alldeles samma invändning kan göras i avseende på många andra naturprodukter, som lagen skyddar åt markägaren. Det torde vara ett faktum, att massor av ris och vindfällen, som kunde användas till bränsle, få ruttna bort i skogarna, och att vid våra sydliga provinsers kuster massor av havstång icke komma till användning. Detta är ju emellertid icke avgörande; att den ena natur-</w:t>
        <w:br/>
        <w:br/>
        <w:t>ning i rätten attplocka skogso å annans mark. (Forts.)</w:t>
        <w:br/>
        <w:br/>
        <w:t>Om inskränkprodukten får förfaras är intet skäl att låta skogsbären gå samma ning i rätten räg</w:t>
        <w:br/>
        <w:br/>
        <w:t>är å annans Av större betydelse är den synpunkten, att ett prisgivande till all-</w:t>
        <w:br/>
        <w:br/>
        <w:t xml:space="preserve">den fattiga </w:t>
      </w:r>
      <w:r>
        <w:rPr>
          <w:b/>
        </w:rPr>
        <w:t>kvinnan¹</w:t>
      </w:r>
      <w:r>
        <w:rPr>
          <w:b w:val="0"/>
        </w:rPr>
        <w:t xml:space="preserve"> fått ensamrätt, kunde </w:t>
      </w:r>
      <w:r>
        <w:rPr>
          <w:b/>
        </w:rPr>
        <w:t>hon²</w:t>
      </w:r>
      <w:r>
        <w:rPr>
          <w:b w:val="0"/>
        </w:rPr>
        <w:t xml:space="preserve"> gjort sig en förtjänst, Om inskränk-</w:t>
        <w:br/>
        <w:br/>
        <w:t xml:space="preserve">varpå </w:t>
      </w:r>
      <w:r>
        <w:rPr>
          <w:b/>
        </w:rPr>
        <w:t>hon²</w:t>
      </w:r>
      <w:r>
        <w:rPr>
          <w:b w:val="0"/>
        </w:rPr>
        <w:t xml:space="preserve"> kunnat leva hela året. Om det skulle inträffat, att markäga- Mrs ocka kön</w:t>
        <w:br/>
        <w:br/>
        <w:t xml:space="preserve">ren av den nämnda </w:t>
      </w:r>
      <w:r>
        <w:rPr>
          <w:b/>
        </w:rPr>
        <w:t>kvinnan¹</w:t>
      </w:r>
      <w:r>
        <w:rPr>
          <w:b w:val="0"/>
        </w:rPr>
        <w:t xml:space="preserve"> begärt någon liten del av förtjänsten, ar å annars</w:t>
        <w:br/>
        <w:br/>
        <w:t>kan man ju anse, att han handlat inhumant, men bärplockerskan = mark.</w:t>
        <w:br/>
        <w:br/>
        <w:t>hade i alla fall haft fördel att få vara i fred på området. (Forts.) Jag vågar sammanfatta vad jag nu sagt, att det nuvarande till-</w:t>
        <w:br/>
        <w:br/>
        <w:t>ståndet är ett knytnäverättens tillstånd och det är denna knytnäve-</w:t>
        <w:br/>
        <w:br/>
        <w:t>rätt vi vilja ersätta med lagligen ordnade förhållanden, vilket vi tro</w:t>
        <w:br/>
        <w:br/>
        <w:t>skulle vara till fördel för alla, även för dem, som icke hava egna</w:t>
        <w:br/>
        <w:br/>
        <w:t>bärmarker. Det är endast skövlarne, som skulle lida därav. Och</w:t>
        <w:br/>
        <w:br/>
        <w:t>även om en eller annan olägenhet skulle yppa sig, bleve den i alla</w:t>
        <w:br/>
        <w:br/>
        <w:t>fall mindre än de, som följa av det nuvarande tillståndet. Lagut-</w:t>
        <w:br/>
        <w:br/>
        <w:t>skottet har visserligen avstyrkt min motion, men ändå genom att</w:t>
        <w:br/>
        <w:br/>
        <w:t>tillstyrka ett skrivelseförslag givit erkännande åt den princip jag häv-</w:t>
        <w:br/>
        <w:br/>
        <w:t>dat i min motion. Det synes mig vara en inkonsekvens, ty antin-</w:t>
        <w:br/>
        <w:br/>
        <w:t>gen erkänner man i princip, att skgsbären äro markägarens tillhörig-</w:t>
        <w:br/>
        <w:br/>
        <w:t>het, och då kräver konsekvensen, att detta fastslås i lagen, då det</w:t>
        <w:br/>
        <w:br/>
        <w:t>visar sig, att ett sådant fastslående är behövligt, eller också anser</w:t>
        <w:br/>
        <w:br/>
        <w:t>man, att skogsbären äro allas tillhörighet, och då är skrivelseförslaget</w:t>
        <w:br/>
        <w:br/>
        <w:t>meningslöst. Jag tillåter mig anse, att Riksdagen bör vara konse-</w:t>
        <w:br/>
        <w:br/>
        <w:t>kvent i hävdandet av äganderättsprinciperna, och då den ändring i</w:t>
        <w:br/>
        <w:br/>
        <w:t>lagen jag föreslagit icke innebär någon nyhet, utan blott, såsom jag</w:t>
        <w:br/>
        <w:br/>
        <w:t>tror mig hava visat, ett förtydligande, samt då olägenheterna av ett</w:t>
        <w:br/>
        <w:br/>
        <w:t>sådant förtydligande helt visst torde bliva mindre än det nuvarande</w:t>
        <w:br/>
        <w:br/>
        <w:t>laglöshetstillståndet, tillåter jag mig, herr talman, att yrka bifall till</w:t>
        <w:br/>
        <w:br/>
        <w:t>min motion.</w:t>
      </w:r>
    </w:p>
    <w:p>
      <w:pPr>
        <w:pStyle w:val="Heading2"/>
      </w:pPr>
      <w:r>
        <w:t>3. Johan Gyllenstierna (–, man)</w:t>
      </w:r>
    </w:p>
    <w:p>
      <w:r>
        <w:rPr>
          <w:b w:val="0"/>
        </w:rPr>
        <w:t>Då jag mycket väl känner till förhållandena på de orter, som närmast beröras av dessa motioner, nödgas jag att några minuter ta kammarens tid i anspråk. Jag kan nämligen icke i allt följa utskottet i dess resonemang. Jag skall endast be att få påpeka en sak till att börja med. »Tvivelaktigt kan väl ock vara», skriver utskottet, »vilka bär såsom fallande under beteckningen ”skogsbär' skulle vara inbegripna under ett dylikt straffskydd.&gt; Jag håller före, att man måste förenkla frågan, så att om lagen skall tillämpas på några bär, måste den gälla alla skogsbär. Såsom vi veta, är det olika slag av bär, som mogna samtidigt, och då skulle förhållandena åtminstone i södra Sverige vara alldeles ohållbara, om en del bleve tillåtna att plockas och andra, som växa på samma plats, icke vore tillåtna. Lagberedningens förslag om ett förbud av bärplockning på 300 meter från det ovillkorligt fridlysta området faller på sin egen orimlighet. Avståndet är uppkonstruerat enligt min åsikt. I allmänhet vet man, att även på de minsta egendomar växa bären på utmarker, som icke ligga inom 300 meter från bostaden.</w:t>
        <w:br/>
        <w:br/>
        <w:t>Nu hava vi tre intressen, som skola tillgodoses, nämligen allmänhetens, jordägarnes och den fattiga befolkningens. Alla äro ense</w:t>
        <w:br/>
        <w:br/>
        <w:t>Om inskränkom, att vi skola taga så mycket valuta som möjligt av dessa</w:t>
        <w:br/>
        <w:br/>
        <w:t xml:space="preserve">skogsbär, och alla äro ense eller kunna vara ense om, att det bäst för jordägaren, om han själv får bestämma av vem och när hans bär på marken skola plockas. Nu säger man, att allmänheten skulle lida utav, att jordägaren icke tillåter bärplockning vilken tid som helst på sin mark. Jag undrar, om detta är förhållandet. Om han ser, att han kan få någon inkomst av sina bär, kommer han att påvisa för vederbörande, som äro villiga att plocka, att där och där finnas de bästa bären och när de äro mogna. Det är icke så lätt att finna skogsbär, och jordägaren vet bättre än befolkningen, som kommer från municipalsamhällena och städerna, var bär finnas att plocka. Även säger man: den fattiga befolkningen kommer att lida av, att den icke får plocka bär, när och var som helst. Ja, om den fattiga befolkningen vore en enhet, om varje fattig människa fick plocka, när och var </w:t>
      </w:r>
      <w:r>
        <w:rPr>
          <w:b/>
        </w:rPr>
        <w:t>hon²</w:t>
      </w:r>
      <w:r>
        <w:rPr>
          <w:b w:val="0"/>
        </w:rPr>
        <w:t xml:space="preserve"> ville, så vore detta sant, men den fattiga befolkningen konkurrerar med sig själv, och därigenom fördärvar den denna fördel.</w:t>
        <w:br/>
        <w:br/>
        <w:t>Jag tror icke, att denna fråga till allas fördel kan lösas på annat vis, än att jordägaren får bestämma, vem som får p ccka på ha jord — helst utan avgift. Detta är för alla parter fördelaktigt, även för bärplockarne, som gärna betala någon avgift, då de veta, när och var de få plocka och att de få göra det i fred.</w:t>
        <w:br/>
        <w:br/>
        <w:t>Jag har intet yrkande, men jag skall be att få påpeka, att min fasta övertygelse är, att frågan icke kan lösas utan att jordägaren får full dispositionsrätt över bären på sin mark.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