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w:t>
      </w:r>
    </w:p>
    <w:p>
      <w:r>
        <w:rPr>
          <w:b/>
        </w:rPr>
        <w:t xml:space="preserve">Datum: </w:t>
      </w:r>
      <w:r>
        <w:t>1914-07-03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Kobb (Liberala riksdagspartiet, man)</w:t>
      </w:r>
    </w:p>
    <w:p>
      <w:r>
        <w:rPr>
          <w:b w:val="0"/>
        </w:rPr>
        <w:t xml:space="preserve">Herr talman! Jag vill begagna detta tillfälle, då vi nu genomgått de ordinarie anslagen, att på denna punkt säga några ord om civilstatens </w:t>
      </w:r>
      <w:r>
        <w:rPr>
          <w:b/>
        </w:rPr>
        <w:t>änkeoch²</w:t>
      </w:r>
      <w:r>
        <w:rPr>
          <w:b w:val="0"/>
        </w:rPr>
        <w:t xml:space="preserve"> pupillkassa.</w:t>
        <w:br/>
        <w:br/>
        <w:t xml:space="preserve">Som jag förmodar, att alla kammarens ledamöter ha sig bekant, övertog denna kassa all </w:t>
      </w:r>
      <w:r>
        <w:rPr>
          <w:b/>
        </w:rPr>
        <w:t>änkepensionering²</w:t>
      </w:r>
      <w:r>
        <w:rPr>
          <w:b w:val="0"/>
        </w:rPr>
        <w:t xml:space="preserve"> för statens tjänstemän, visserligen med undantag för en del, för vilka det finnes särskilda pensionskassor. Nu är ställningen sådan, att denna kassa har ett högst betydande överskott, som skulle kunna användas till ökning av </w:t>
      </w:r>
      <w:r>
        <w:rPr>
          <w:b/>
        </w:rPr>
        <w:t>änkepensionerna²</w:t>
      </w:r>
      <w:r>
        <w:rPr>
          <w:b w:val="0"/>
        </w:rPr>
        <w:t xml:space="preserve">, men detta är beroende på utredning. Fullmäktige visade — jag tror det var förra året — att det på grund av detta överskott skulle kunna bli en allmän höjning av </w:t>
      </w:r>
      <w:r>
        <w:rPr>
          <w:b/>
        </w:rPr>
        <w:t>änkepensionerna²</w:t>
      </w:r>
      <w:r>
        <w:rPr>
          <w:b w:val="0"/>
        </w:rPr>
        <w:t xml:space="preserve">, jag vill minnas med inemot 20 90. Nu har emellertid Kungl. Maj:t avslagit denna förhöjning, emedan det ansågs, att utredningen ej var tillräckligt bevisande; detta beroende därpå, att då </w:t>
      </w:r>
      <w:r>
        <w:rPr>
          <w:b/>
        </w:rPr>
        <w:t>änkepensioneringen²</w:t>
      </w:r>
      <w:r>
        <w:rPr>
          <w:b w:val="0"/>
        </w:rPr>
        <w:t xml:space="preserve"> övertogs av </w:t>
      </w:r>
      <w:r>
        <w:rPr>
          <w:b/>
        </w:rPr>
        <w:t>änkeoch²</w:t>
      </w:r>
      <w:r>
        <w:rPr>
          <w:b w:val="0"/>
        </w:rPr>
        <w:t xml:space="preserve"> pupillkassan så skulle den svara för en del gamla förbindelser. Nu är frågan den, huruvida dessa allt fortfarande komma att äga bestånd — jag menar förbindelserna för penionseringen. Jag ber därför att till herr statsrådet och</w:t>
        <w:br/>
        <w:br/>
        <w:t xml:space="preserve">mansrätt för </w:t>
      </w:r>
      <w:r>
        <w:rPr>
          <w:b/>
        </w:rPr>
        <w:t>hustru²</w:t>
      </w:r>
      <w:r>
        <w:rPr>
          <w:b w:val="0"/>
        </w:rPr>
        <w:t>, vid domstol eller hos annan laga myndighe: föra egen eller annans talan.»</w:t>
      </w:r>
    </w:p>
    <w:p>
      <w:pPr>
        <w:pStyle w:val="Heading2"/>
      </w:pPr>
      <w:r>
        <w:t>2. Fredrik Berglund (Liberala samlingspartiet, man)</w:t>
      </w:r>
    </w:p>
    <w:p>
      <w:r>
        <w:rPr>
          <w:b w:val="0"/>
        </w:rPr>
        <w:t xml:space="preserve">Herr talman, mina herrar! Jag skall endast be att få påpeka, att utskottet i sin motivering framhållit, att den ifrågasatta reformen, nämligen att gift </w:t>
      </w:r>
      <w:r>
        <w:rPr>
          <w:b/>
        </w:rPr>
        <w:t>kvinna¹</w:t>
      </w:r>
      <w:r>
        <w:rPr>
          <w:b w:val="0"/>
        </w:rPr>
        <w:t xml:space="preserve"> må kunna tillåtas att inför rätta föra annans talan, förtjänar beaktande, och utskottet säger vidare: »desto mera som erforderlig lagändring icke torde vara förenad med avsevärda svårigheter». Jag hade tänkt mig, att utskottet, då det säger, att reformen är nödvändig och icke förenad med avsevärda svårigheter, skulle hava, i stället för att igångsätta den stora apparaten med skrivelse till Kungl. Maj:t, kunnat självt formulera ett lagförslag, i denna sak i enlighet med reservanternas förslag. Orsaken, varför denna motion tillkommit, är ett faktiskt förhållande, som tydligt påvisar orimligheten i den nuvarande bestämmelsen, att en </w:t>
      </w:r>
      <w:r>
        <w:rPr>
          <w:b/>
        </w:rPr>
        <w:t>kvinna¹</w:t>
      </w:r>
      <w:r>
        <w:rPr>
          <w:b w:val="0"/>
        </w:rPr>
        <w:t xml:space="preserve"> genom giftermål förlorar sin rätt att föra annans talan inför rätta. Som herrarna veta finnes det för närvarande åtskilliga </w:t>
      </w:r>
      <w:r>
        <w:rPr>
          <w:b/>
        </w:rPr>
        <w:t>kvinnor¹</w:t>
      </w:r>
      <w:r>
        <w:rPr>
          <w:b w:val="0"/>
        </w:rPr>
        <w:t xml:space="preserve">, som avlagt juridisk examen, såväl 'vid Stockholms högskola som vid universiteten, och åtminstone några av dessa utöva advokatyrke. I förevarande fall var det en </w:t>
      </w:r>
      <w:r>
        <w:rPr>
          <w:b/>
        </w:rPr>
        <w:t>kvinna¹</w:t>
      </w:r>
      <w:r>
        <w:rPr>
          <w:b w:val="0"/>
        </w:rPr>
        <w:t xml:space="preserve">, som avlagt såväl filosofie kandidaten som juris utriusque kandidatexamen. </w:t>
      </w:r>
      <w:r>
        <w:rPr>
          <w:b/>
        </w:rPr>
        <w:t>Hon²</w:t>
      </w:r>
      <w:r>
        <w:rPr>
          <w:b w:val="0"/>
        </w:rPr>
        <w:t xml:space="preserve"> utövade advokatverksamhet, men ingick gifte, och på grund härav förvägrades </w:t>
      </w:r>
      <w:r>
        <w:rPr>
          <w:b/>
        </w:rPr>
        <w:t>hon²</w:t>
      </w:r>
      <w:r>
        <w:rPr>
          <w:b w:val="0"/>
        </w:rPr>
        <w:t xml:space="preserve"> av 'Stockholms Rådstuvurätt att uppträda inför rätta. </w:t>
      </w:r>
      <w:r>
        <w:rPr>
          <w:b/>
        </w:rPr>
        <w:t>Hon²</w:t>
      </w:r>
      <w:r>
        <w:rPr>
          <w:b w:val="0"/>
        </w:rPr>
        <w:t xml:space="preserve"> fick ej ens avlämna ett papper, utan måste därtill använda en vaktmästare. Det är väl påtagligt, att detta är orimligt, och att man måste göra något, och då reservanterna här framkommit med ett förslag att omedelbart avhjälpa missförhållandet, så ber 'jag, herr talman, att få yrka bifall till den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