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1275</w:t>
      </w:r>
    </w:p>
    <w:p>
      <w:r>
        <w:rPr>
          <w:b/>
        </w:rPr>
        <w:t xml:space="preserve">Datum: </w:t>
      </w:r>
      <w:r>
        <w:t>1914-07-18</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Ulrik Leander (Frisinnade folkpartiet, man)</w:t>
      </w:r>
    </w:p>
    <w:p>
      <w:r>
        <w:rPr>
          <w:b w:val="0"/>
        </w:rPr>
        <w:t>Herr talman! Jag har i denna motion hemställt, att riksdagen ville besluta att i skrivelse till Kungl. Maj:t anhålla, det täcktes Kungl. Maj:t låta verkställa utredning fortast möjligt angående antalet ännu kvarlevande och behövande änkor efter män, som deltagit i ångfartyget Vegas expedition åren 1878—1880, samt för riksdagen framlägga förslag om lämpligt understöd åt dessa änkor.</w:t>
        <w:br/>
        <w:br/>
        <w:t xml:space="preserve">Orsaken varför jag gav denna form för min framställning har varit den, att jag 1911 var med om att underteckna en motion om pension för åtskilliga då ännu levande Vega-män. Bankoutskottet, till vilket motionen remitterades, ansåg emellertid, att utredningen icke vore fullständig och att denna helst borde göras genom Kungl. Maj:t. Nu fruktade jag få samma svar, ifall jag gjorde framställning enbart om pension för den </w:t>
      </w:r>
      <w:r>
        <w:rPr>
          <w:b/>
        </w:rPr>
        <w:t>änka²</w:t>
      </w:r>
      <w:r>
        <w:rPr>
          <w:b w:val="0"/>
        </w:rPr>
        <w:t xml:space="preserve">, jag i min motion omnämnt. Emellertid vill jag upplysa om, att sedan jag väckte motionen, ytterligare en </w:t>
      </w:r>
      <w:r>
        <w:rPr>
          <w:b/>
        </w:rPr>
        <w:t>änka²</w:t>
      </w:r>
      <w:r>
        <w:rPr>
          <w:b w:val="0"/>
        </w:rPr>
        <w:t xml:space="preserve"> har givit sig tillkänna. Statsutskottet anser nu i sitt betänkande här i motsats till vad bankoutskottet 1911 uttalade, att dylika framställningar böra prövas i varje särskilt fall och säger sig hysa den förmodan, att riksdagen ej skall ställa sig pincipiellt avvisande i fråga om understöd åt änkor efter Vegaexpeditionens män, utan i särskilda fall och vid förefintligt behov med välvilja till prövning upptaga framställningar om dylikt understöd.</w:t>
        <w:br/>
        <w:br/>
        <w:t>Jag tackar nu statsutskottet för detta välvilliga yttrande och uttalar den förhoppningen, att någon medlem av riksdagen skall till ett kommande år göra framställning om understöd åt ifrågavarande änkor. Emellertid vill jag påpeka, att efter det motionen 1911 blivit väckt om pension åt Vegamännen, Kungl. Maj:t. själv tog saken om hand och utan vidare erinringar vid följande års riksdag 1912 framlade proposition om pension åt Vegamännen, vilken proposition också vann riksdagens bifall. Kunde nu detsamma ske beträffande ifrågavarande änkor, så att Kungl. Maj:t toge upp saken, vore det dess bättre. I varje fall hoppas jag, som sagt, att dessa änkor skola på det ena eller andra sättet erhålla det understöd, varav de äro i behov, och i frågans nuvarande läge har jag, herr talman, därför intet yrkande att göra.</w:t>
      </w:r>
    </w:p>
    <w:p>
      <w:pPr>
        <w:pStyle w:val="Heading2"/>
      </w:pPr>
      <w:r>
        <w:t>2. Olof Olsson (Liberala samlingspartiet, man)</w:t>
      </w:r>
    </w:p>
    <w:p>
      <w:r>
        <w:rPr>
          <w:b w:val="0"/>
        </w:rPr>
        <w:t>Herr talman, mina herrar! Jag får uttala min tacksamhet till utskottet för dess välvilliga behandling av: min motion, men beklagar att, då utskottet kommit till sin klär, denna utmynnat i ett yrkande om avslag på min hemställan.</w:t>
        <w:br/>
        <w:br/>
        <w:t>Det torde vara lämpligt att vid detta tillfälle draga fram ett exempel på, vilka kolossala vinster bruksägarna i vissa fall gjort på dylika affärer, då de ibland på, såsom det synes, litet underligt sätt kommit i besittning av skog från åbohemman. Jag vill då anföra ett exempel från det län jag tillhör. År 1704 erhöll en finne, Mårten Mårtensson, lagmansrättens tillstånd att å en allmänning i Helsingland uppodla ett torp. År 1711 fick han skattläggning på detsamma och hemmanet fick namnet Njupan. Då han begärde skatteköp på hemmanet, bestreds detta av Voxna bruksägare, vilka omkring år 1725 börjat anlägga ett järnbruk på platsen. Är 1729 lyckades dessa bruksägare utverka sig skatteköp på hemmanet för 333 riksdaler 107?/; öre silvermynt, varvid dock Mårtensson såsom åbo bibehölls vid hemmanet.</w:t>
        <w:br/>
        <w:br/>
        <w:t xml:space="preserve">Längre fram uppstod process om åborätten, vilken avslutades därmed att Kungl. Maj:t den 15 januari 1836 förklarade Mårtenssons rättsägare, nämligen hans </w:t>
      </w:r>
      <w:r>
        <w:rPr>
          <w:b/>
        </w:rPr>
        <w:t>änka²</w:t>
      </w:r>
      <w:r>
        <w:rPr>
          <w:b w:val="0"/>
        </w:rPr>
        <w:t xml:space="preserve"> Anna </w:t>
      </w:r>
      <w:r>
        <w:rPr>
          <w:b/>
        </w:rPr>
        <w:t>Jansdotter²</w:t>
      </w:r>
      <w:r>
        <w:rPr>
          <w:b w:val="0"/>
        </w:rPr>
        <w:t xml:space="preserve"> och </w:t>
      </w:r>
      <w:r>
        <w:rPr>
          <w:b/>
        </w:rPr>
        <w:t>hennes²</w:t>
      </w:r>
      <w:r>
        <w:rPr>
          <w:b w:val="0"/>
        </w:rPr>
        <w:t xml:space="preserve"> arvingar berättigade att bibehållas vid åborätten med de rättigheter och skyldigheter författningarna stadga. Men då sedermera konungens befallningshavande anbefallde vederbörande underexekutor att inrymma dessa </w:t>
      </w:r>
      <w:r>
        <w:rPr>
          <w:b/>
        </w:rPr>
        <w:t>hennes²</w:t>
      </w:r>
      <w:r>
        <w:rPr>
          <w:b w:val="0"/>
        </w:rPr>
        <w:t xml:space="preserve"> arvingar å hemmanet, bestreds detta av bruksägarna, varför förrättningen inställdes. Åborna ha heller aldrig kommit i besittning av sin rätt, utan de ha spritts åt andra håll.</w:t>
        <w:br/>
        <w:br/>
        <w:t>Nu är att märka att ifrågavarande hemmans areal utgöres av 15,218 tunnland och att det åsatta taxeringsvärdet år 1913 utgjorde</w:t>
        <w:br/>
        <w:br/>
        <w:t>lor rett Et kungl. förordningen den 11 december 1766 har tillämpats angående</w:t>
        <w:br/>
        <w:br/>
        <w:t>I ett kungl. brev av den 1 december 1839 har kämmarkollegium fått en mild skrapa för att inom hemmanet Njupans område intagits mer skog än som svarade mot skatteläggningen, utan att detta kungl. brev dock föranlett någon ändring i missförhållandet. I det kungl. brevet anmärkes t. ex. att hemmanet härigenom kommit att bestå av 15,218 tunnland i stället för, såsom det rätteligen bort vara, 938 tunnland = efter frälsehemmansskatt, men efter avyttringsförfattningarna 131 tunnland.</w:t>
        <w:br/>
        <w:br/>
        <w:t>Detta är ett exempel ur högen. Då de på detta sätt under bruk skatteköpta hemmanen utgöra omkring 800 stycken och då de verkliga åborna numera äro så gott som försvunna, förstår man vilka vinster bruksbolagen ha gjort. Hemmanen ha ju under tiden stigit kolossalt i värde och denna värdestegring har uteslutande kommit bolagen och bruksägarna till godo. Det vore därför rättvist och billigt att se till att dessa gamla åbor, som på dessa orter varit våra första nybyggare och som med svett och möda brutit upp sina hem i ödemarken, icke otacksamt och skymfligt förjagas och berövas frukterna av sitt arbete. De begära ej mer än att få bo kvar och odla den torva, som deras fäder gött med sin svett.</w:t>
        <w:br/>
        <w:br/>
        <w:t>I utskottes utlåtande hänvisas till åbokommitténs pågående utredning, och utskottet har särskilt tryckt på, att denna utredning bör göras så raskt som möjligt, och har även givit kommittén en fingervisning, att om några särskilda åtgärder under tiden skulle behöva vidtagas kommittén därom borde göra hemställan till Kungl. Maj:t. Detta är nu allt gott och väl, men jag vill påpeka, att min motion är föranledd därav, att det inträffat att bruksägare på den grund att det nu börjat röras i dessa saker och att till följd av motioner inom riksdagen denna kommitté blivit tillsatt, fått bråttom att kalhugga skogen på de områden, om vilka möjligen tvist kan uppstå; och skulle utredningen om ett eller annat år visa, att det är åbor, som ha rätt till skogen på dessa områden, så finnes ingen skog att taga. Motionen avser därför att under den tid utredningen pågår sådana åtgärder skulle vidtagas, att dylika kalhuggningar förhindrades, exempelvis därigenom att Kungl. Maj:t utfärdade någon bestämmelse om förbud mot avverkning på dessa områden. Min mening har således icke varit att taga någonting vare sig från bruksägarna eller åborna, utan blott att den rätte ägaren skulle skyddas 1 sin rätt till dess saken bleve utredd och klar.</w:t>
        <w:br/>
        <w:br/>
        <w:t>Det torde icke löna sig att mot ett enhälligt utskott framställa något yrkande, och jag har därför inskränkt mig till att draga fram det anförda exemplet på de oerhörda vinster bruken gjort och till att angiva anledningen till motionens väckande, nämligen att något bör göras för att skydda skogen, medan kommittén utreder, vem som har rätt till densamma.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1275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