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1282</w:t>
      </w:r>
    </w:p>
    <w:p>
      <w:r>
        <w:rPr>
          <w:b/>
        </w:rPr>
        <w:t xml:space="preserve">Datum: </w:t>
      </w:r>
      <w:r>
        <w:t>1914-08-05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Daniel Persson (Liberala samlingspartiet, man)</w:t>
      </w:r>
    </w:p>
    <w:p>
      <w:r>
        <w:rPr>
          <w:b w:val="0"/>
        </w:rPr>
        <w:t>Herr talman! Då jag läste denna motion, så tyckte jag, att motionärerna givit ganska goda skäl för sin framställning, ty, som herrarna veta, anser jag det vara bättre, att folk får lägenheter med äganderätt än att lägenheterna upplåtas med något slags besittningsrätt. Jag var därför, som sagt, mycket tilltalad av motionärernas framställning. Det föreliggande ärendets förberedande behandling verkställdes på jordbruksutskottets första avdelning, och jag var således icke i tillfälle att taga del av att andra skäl än de, som förekomma i propositionen och av vad som i motionen förebragts, men då ärendet förekom till behandling av utskottet in pleno, blev jag satt i tillfälle att taga del även av andra omständigheter, som berörde den föreliggande frågan, och jag måste erkänna, att oaktat jag gärna velat bifalla motionärernas framställning, jag icke kunde finna någon möjlighet att göra detta. Och jag hemställer till herrarna, om det icke skulle vara bra nog underligt, om på ett område, som förut tillhört Linköpings stad men nu upplåtits åt kronan för övningsfält, staten skul e företaga sig att sälja ett visst stycke eller område, vars belägenhet är sådan att en väg för statens eller övningsfältets räkning måste dragas fram över detsamma. Det förefaller mig underligt, om riksdagen skulle förorda en sådan åtgärd.</w:t>
        <w:br/>
        <w:br/>
        <w:t>5 För övrigt måste jag framhålla, att vilka ömmande omständigheter än kunna åberopas beträffande den ifrågavarande personen, kommer han ingalunda i sämre ställning om utskottets förslag bi-</w:t>
        <w:br/>
        <w:br/>
        <w:t xml:space="preserve">falles än han var förut; han kommer snarare i en bättre ställning, och detta tror jag motionärerna skola giva mig rätt i. Detta hindrar naturligtvis icke att hans ställning skulle blivit ännu säkrare, om han finge lägenheten med äganderätt — det är icke tu tal om den saken. Men man kan icke säga att härigenom vederfares honom någon orättvisa, då utskottet i sin motivering så tydligt förordat, att denne person skulle få sitta kvar på lägenheten så länge han lever och likaledes hans </w:t>
      </w:r>
      <w:r>
        <w:rPr>
          <w:b/>
        </w:rPr>
        <w:t>hustru²</w:t>
      </w:r>
      <w:r>
        <w:rPr>
          <w:b w:val="0"/>
        </w:rPr>
        <w:t xml:space="preserve">, så länge </w:t>
      </w:r>
      <w:r>
        <w:rPr>
          <w:b/>
        </w:rPr>
        <w:t>hon²</w:t>
      </w:r>
      <w:r>
        <w:rPr>
          <w:b w:val="0"/>
        </w:rPr>
        <w:t xml:space="preserve"> lever. Han har fått garanti för att bo kvar och detta är bättre än han förut hade det, då han hade att göra med Linköpings stad utan sådana garantier.</w:t>
        <w:br/>
        <w:br/>
        <w:t>Under sådana omständigheter kan jag icke finna annat än att utskottet haft goda skäl för sin hemställan, och anhåller jag därför, herr talman, att få yrka bifall till nämnda hemställan.</w:t>
      </w:r>
    </w:p>
    <w:p>
      <w:pPr>
        <w:pStyle w:val="Heading2"/>
      </w:pPr>
      <w:r>
        <w:t>2. Karl Beckman (Lantmanna- och borgarepartiet inom andrakammaren, man)</w:t>
      </w:r>
    </w:p>
    <w:p>
      <w:r>
        <w:rPr>
          <w:b w:val="0"/>
        </w:rPr>
        <w:t>Bara ett par ord till svar å vad vice talmannen yttrade. Han sade, att det skulle väcka uppseende i Linköping, om personen i fråga erhölle denna rättighet. Ja, det tror jag, men det skulle väcka ett mycket gott uppseende, ty man skulle gärna se, att denne hygglige och skötsamme man finge vad han begärt. Den saken tror jag icke riksdagen behöver hysa farhågor för.</w:t>
        <w:br/>
        <w:br/>
        <w:t xml:space="preserve">Att mannen skulle komma i samma ställning som nu är delvis sant, men han skulle komma i sämre ställning än han kommit, om han eller hans företrädare begagnat tillfället att köpa. Han har arrenderat lägenheten på 20 år, och denna arrendetid går ut nästa år. Hade fråga icke om överlåtelse till lantförsvar uppstått så hade han arrenderat på ytterligare 20 år. Nu skulle visserligen han och hans </w:t>
      </w:r>
      <w:r>
        <w:rPr>
          <w:b/>
        </w:rPr>
        <w:t>hustru²</w:t>
      </w:r>
      <w:r>
        <w:rPr>
          <w:b w:val="0"/>
        </w:rPr>
        <w:t xml:space="preserve"> få sitta kvar, och detta betyder ju mycket för dem, men för hans rättsinnehavare betyder det betydande förlust.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