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1291</w:t>
      </w:r>
    </w:p>
    <w:p>
      <w:r>
        <w:rPr>
          <w:b/>
        </w:rPr>
        <w:t xml:space="preserve">Datum: </w:t>
      </w:r>
      <w:r>
        <w:t>1914-08-29</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Vilhelm Lundström (Lantmanna- och borgarepartiet inom andrakammaren, man)</w:t>
      </w:r>
    </w:p>
    <w:p>
      <w:r>
        <w:rPr>
          <w:b w:val="0"/>
        </w:rPr>
        <w:t>Herr talman! Jag blev något förvånad, att herr Edén i sitt anförande beklagade sig över att ingen hunnit förekomma honom att begära ordet. Jag tänker, att de, som varit med i utskottet, ganska allmänt varit övertygade om att han ämnade framkomma och göra det yrkande, som han nu också mycket riktigt har gjort; och det var då god tid att begära ordet efter detta.</w:t>
        <w:br/>
        <w:br/>
        <w:t xml:space="preserve">Konstitutionsutskottets ärade ordförande, som i detta fall också är första reservant, har gjort sig mycken möda att bevisa att utskottets memorial på denna punkt skulle vara synnerligen oklart och att han fåfängt hade sökt att fatta, vad som egentligen menades med detsamma. Ja, det är ju så, herr talman, att liksom det heter att människan kan vad </w:t>
      </w:r>
      <w:r>
        <w:rPr>
          <w:b/>
        </w:rPr>
        <w:t>hon²</w:t>
      </w:r>
      <w:r>
        <w:rPr>
          <w:b w:val="0"/>
        </w:rPr>
        <w:t xml:space="preserve"> vill, så händer det också, att människan icke kan vad </w:t>
      </w:r>
      <w:r>
        <w:rPr>
          <w:b/>
        </w:rPr>
        <w:t>hon²</w:t>
      </w:r>
      <w:r>
        <w:rPr>
          <w:b w:val="0"/>
        </w:rPr>
        <w:t xml:space="preserve"> icke vill; och det torde nog vara så, att huvudsaken av detta, enkannerligen efter de mycket långa debatter, som förekommit om denna fråga i utskottet, icke bör vara så alldeles främmande för utskottets ärade herr ordförande, som han här sökt att framställa det. Huvudsumman av det hela är ju i alla fall det, att utskottet har velat hävda att här är företagen en expedition »på nådigste befallning», och att utskottet desslikes har velat hävda, att en sådan expedition kan förekomma endast i de två fallen antingen att en föregående föredragning har skett, vare sig i statsrådet eller i kommandoväg, eller också att expeditionen kan innefattas i det allmänna bemyndigande för vissa dylika fall, som Kungl. Mai:t genom föregående beslut har givit respektive departementschefer.</w:t>
        <w:br/>
        <w:br/>
        <w:t>Att det förra fallet icke föreligger, det är ju fullt konstaterat och av ingen bestritt. Det andra fallet återigen regleras av de två Kungl. Maj:ts beslut, som här återfinnas såsom bilagor till utskot-</w:t>
        <w:br/>
        <w:br/>
        <w:t>tets memorial, nämligen utdrag av protokollen för den 12 mars 1828 och den 29 oktober 1842. Att protokollet för 1828 skulle på något vis kunna berättiga till en expedition sådan som den nu ifrågavarande, det har, så vitt jag vet, ingen velat påstå. Vad beslutet av 1842 angår, så är det lika klart av den allmänna motivering, som departementschefen där har givit för det allmänna bemyndigande som skulle ges åt departementscheferna, att ett sådant ärende som detta icke på något vis kan inneslutas i detta bemyndigande; och det förhållandet ändras icke därav, såsom utskottets ordförande och reservanterna påstå, att i själva beslutet, i vilket Kungl. Maj:t säger sig nådigt gilla det omförmälda expeditionssättet, gives tillstånd till detta expeditionssätt »i anförda och likartade fall». Ty detta fall är så långt ifrån att vara likartat med alla de fall, som nämnas här 1 föredragande departementschefens utlåtande av den 29 oktober 1842, att tvärtom alla där framställda fall, i vilka Kungl. Maj:t ger tillstånd till en dylik expedition, förutsätta, att ärendet antingen skall vara grundat på ett föregående Kungl. Maj:ts beslut eller också vara remiss av en inkommen handling, med andra ord att ärendet under alla omständigheter skall föreligga hos Kungl. Maj:t. Här hava vi tvärtom ett helt annat ärende, så långt ifrån likartat med dessa, att det är till arten fullkomligt grundskilt från dem. Vi hava här ett ärende, som icke på något vis förelåg vare sig genom något Kungl. Maj:ts beslut ej heller genom någon till Konungen ingiven skrivelse.</w:t>
        <w:br/>
        <w:br/>
        <w:t>Men, säger man då, det har sedan utbildat sig en praxis, varigenom departementschefer även i sådana fall skulle kunna »på nådigste befallning» utfärda expeditionen. Man hörde länge mycket talas om denna praxis både i pressen och nu under debatten i konstitutionsutskottet, men man lyckades aldrig få några fler verifikationer på denna praxis än det fall, som nyss anförts i det yttrande i första kammaren av doktor Bergström, som här upplästs, samt ett annat liknande fall, vilket skulle inträffat även det under doktor Bergströms statsrådstid. En praxis, grundad endast på dessa två fall, kan jag för min del icke godkänna. Ej heller har den genom den förseglade sedeln till majoritet blivna delen av konstitutionsutskottet kunnat godkänna, att därigenom en praxis blivit skapad. Hava en eller två gånger uppenbara överträdelser av klart föreliggande fakta och rättigheter i detta fall skett, så konstituerar det naturligtvis icke någon tillåtlig praxis; ej heller ger det konstitutionsutskottet ågon som helst rättighet att, då det stöter på ett dylikt fall, underlåta att fylla sin plikt som anmärkare.</w:t>
        <w:br/>
        <w:br/>
        <w:t>Jag kan därför, herr talman, icke finna annat än att konstitutionsutskottet här har både klart sagt ifrån, vad det har menat, och även fyllt sin plikt som granskare; och jag ber därför, herr talman, att få yrka, att betänkandet utan det tillägg, som av den siste ärade talaren gjordes, måtte få läggas till handlingarna.</w:t>
      </w:r>
    </w:p>
    <w:p>
      <w:pPr>
        <w:pStyle w:val="Heading2"/>
      </w:pPr>
      <w:r>
        <w:t>2. Nils Eden (Liberala riksdagspartiet, man)</w:t>
      </w:r>
    </w:p>
    <w:p>
      <w:r>
        <w:rPr>
          <w:b w:val="0"/>
        </w:rPr>
        <w:t xml:space="preserve">Herr talman! Den ärade talaren från Göteborg började sitt anförande, såsom han tycks älska, med ett slags sentens: människan kan vad </w:t>
      </w:r>
      <w:r>
        <w:rPr>
          <w:b/>
        </w:rPr>
        <w:t>hon²</w:t>
      </w:r>
      <w:r>
        <w:rPr>
          <w:b w:val="0"/>
        </w:rPr>
        <w:t xml:space="preserve"> vill; men människan</w:t>
        <w:br/>
        <w:br/>
        <w:t xml:space="preserve">kan inte vad </w:t>
      </w:r>
      <w:r>
        <w:rPr>
          <w:b/>
        </w:rPr>
        <w:t>hon²</w:t>
      </w:r>
      <w:r>
        <w:rPr>
          <w:b w:val="0"/>
        </w:rPr>
        <w:t xml:space="preserve"> inte vill. — Det tror jag är ganska riktigt. Men om vi fortsätta på de självgjorda sentensernas väg, så skulle vi kanske också kunna säga, att människan kan understundom icke ens vad </w:t>
      </w:r>
      <w:r>
        <w:rPr>
          <w:b/>
        </w:rPr>
        <w:t>hon²</w:t>
      </w:r>
      <w:r>
        <w:rPr>
          <w:b w:val="0"/>
        </w:rPr>
        <w:t xml:space="preserve"> vill; ty icke tyckes åtminstone herr Lundström ha kunnat visa upp, att det är någon verklig klarhet i konstitutionsutskottets utlåtande. Detta kan nog emellertid bero på en omständighet, som också skulle kunna formuleras i en sentens: det är icke gott för människan att kunna, när </w:t>
      </w:r>
      <w:r>
        <w:rPr>
          <w:b/>
        </w:rPr>
        <w:t>hon²</w:t>
      </w:r>
      <w:r>
        <w:rPr>
          <w:b w:val="0"/>
        </w:rPr>
        <w:t xml:space="preserve"> inte vet vad </w:t>
      </w:r>
      <w:r>
        <w:rPr>
          <w:b/>
        </w:rPr>
        <w:t>hon²</w:t>
      </w:r>
      <w:r>
        <w:rPr>
          <w:b w:val="0"/>
        </w:rPr>
        <w:t xml:space="preserve"> vill. Det tycks vara förhållandet med konstitutionsutskottets majoritet.</w:t>
        <w:br/>
        <w:br/>
        <w:t>Här har nu denne ärade representant för utskottet stått upp och fört ett resonnemang, som uteslutande, jag ber kammaren lägga märke till det, fäster sig vid användningen av formeln »på nådigste befallning». Det är om denna formel, som han nu har yttrat sig. Han har försökt att visa, att den icke kunde användas i detta fall, och därför är det sålunda som han hävdar, att förre statsrådet Bergströms ämbetsskrivelse skulle vara oriktig. Jag ber att få fråga: hur kan det vara möjligt, att om detta är konstitutionsutskottets mening, utskottet uttrycker den meningen på ett så utomordentligt invecklat sätt, att det icke står till att ur utskottets memorial läsa ut, att det var mot den formelns användning som man riktade sig. Eller, om jag vänder på saken: om detta var utskottsmajoritetens mening, vad har då utskottet avsett med att på sidan 6 upptaga den satsen att 8 10 regeringsformen icke ger en departementschef befogenhet att på eget initiativ träffa förordnanden om vissa ärendens upptagande såsom regeringsärenden? Där är aldrig tal om » å nådigste befallning». är dekreterar utskottet, vare sig det gäller termen »på nådigste befallning» eller icke, att över huvud taget en departementschef icke får på eget initiativ träffa förordnande om att vissa ärenden skola upptagas såsom regeringsärenden.</w:t>
        <w:br/>
        <w:br/>
        <w:t>Jag tillåter mig att säga den ärade representanten för utskottsmajoriteten, att saken nog ligger så, att man, när det gällde att skriva detta memorial, ändå tör ha funnit, att det icke var mycket att komma med, om man skulle anmärka på formeln »på nådigste befallning», i synnerhet som det kunde visas, dels att praxis icke varit fullt klar, och dels att Kungl. Maj:t aldrig hade uttömmande reglerat denna praxis. När utskottets på lotten konstituerade majoritet skulle skriva memorialet, gick den därför på den bogen, som är så vanlig på denna sida inom utskottet och gjorde en stor principfråga av det hela. Man skulle ovillkorligen draga in i saken det gamla spöket »ministerstyrelse». Och för att kunna få in detta, gällde det att försöka visa, art statsrådet överskridit sin befogenhet i realitet och icke blott i form.</w:t>
        <w:br/>
        <w:br/>
        <w:t>Men när man kom in i den tankegången, gick man också så långt, att man inför landet och riksdagen blottade, att dessa medlemmar av utskottsmajoriteten icke väjde tillbaka för att</w:t>
        <w:br/>
        <w:br/>
        <w:t>inskränka departementschefernas initiativ på det sätt jag nyss Ang. fullborsökt åskådliggöra. De ord i utskottets memorial, som jag uppdad granskläst, och den tankegång jag återgivit med utskottets egna ord, äng sö eler kunna icke bortförklaras. Det är framför allt dessa ord och denna ” kolen. tankegång, som göra utskottsmemorialet så betänkligt, och som = (Forts.) göra, att jag vidhåller mitt yrkande, att detta memorial lägges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