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221</w:t>
      </w:r>
    </w:p>
    <w:p>
      <w:r>
        <w:rPr>
          <w:b/>
        </w:rPr>
        <w:t xml:space="preserve">Datum: </w:t>
      </w:r>
      <w:r>
        <w:t>1914-08-29</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Hans Ericson (Första kammarens nationella parti, man)</w:t>
      </w:r>
    </w:p>
    <w:p>
      <w:r>
        <w:rPr>
          <w:b w:val="0"/>
        </w:rPr>
        <w:t>Med anledning av vad herr Rosén sagt angående den stora spritkonsumtionen på en torpedbåt, undrar jag om det kan bevisas, att all denna sprit verkligen konsumerades där ombord. Vet herr Rosén, om den tilläventyrs fördelades på hela den division, till vilken den torpedbåt hörde, som hade för 500 kronor sprit ombord? Vet herr Rosén, om detta parti konsumerades under expeditionen eller om en del därav fanns kvar vid expeditionens slut? Det går icke så till, att en underofficer försäljer sprit i kommission till de andra, utan en av dem tjänstgör såsom s. k. »</w:t>
      </w:r>
      <w:r>
        <w:rPr>
          <w:b/>
        </w:rPr>
        <w:t>mamma²</w:t>
      </w:r>
      <w:r>
        <w:rPr>
          <w:b w:val="0"/>
        </w:rPr>
        <w:t>», och han sköter om maten och även drycken och likviderar räkningarna. Har han tagit 10 9/0 i ersättning för den spirituosa, som utlämnats, så är det enligt min åsikt ett fel och ett förhållande som hans kamrater säkert icke haft reda på. Jag vill desutom nämna, att underofficerarna icke ha rätt att taga sprit ombord, med mindre fartygschefen lämnar sitt tillstånd, och då sådant gives brukar göras det förbehåll, att rättigheten borttages, om missbruk förekommer. Skulle herr Rosén vilja gå igenom straffjournalerna för fartygen, tror jag, att det skulle bli svårt att finna några fall, där bestraffning ägt rum på grund av onykterhet ombord, vare sig det gäller befäl eller underbefäl.</w:t>
      </w:r>
    </w:p>
    <w:p>
      <w:pPr>
        <w:pStyle w:val="Heading2"/>
      </w:pPr>
      <w:r>
        <w:t>2. Charodotes Meurling (Första kammarens nationella parti, man)</w:t>
      </w:r>
    </w:p>
    <w:p>
      <w:r>
        <w:rPr>
          <w:b w:val="0"/>
        </w:rPr>
        <w:t>Det har från olika håll talats om, att svårigheter skulle uppstå genom ett bifall till vad som här föreslagits, och jag tvivlar ej heller på att så skulle bliva fallet. Men då vi nu leva i offervillighetens tecken, och då vidare meringen är, att flottan skall tryggas mot de svårigheter, som kunna uppstå, och då tidningarna förmält, att det som här begäres, har kunnat tillämpas på andra staters flottor, synes det mig, att man också bör bifalla motionen.</w:t>
      </w:r>
    </w:p>
    <w:p>
      <w:pPr>
        <w:pStyle w:val="Heading2"/>
      </w:pPr>
      <w:r>
        <w:t>3. Gustav Rosen (Frisinnade folkpartiet, man)</w:t>
      </w:r>
    </w:p>
    <w:p>
      <w:r>
        <w:rPr>
          <w:b w:val="0"/>
        </w:rPr>
        <w:t>Herr talman! Det förhåller sig nog så, att dylika lager finnas på alla båtar, enligt vad som uppgavs för mig. Jag har icke personligen reda på detta, men jag nämnde, att det var sakkunniga personer, som lämnat uppgiften. Någon fördelning till andra båtar inom divisionen hade sålunda icke förekommit. Man uppgav för övrigt, att det som blev över, återlämnades. Det må vara, att »</w:t>
      </w:r>
      <w:r>
        <w:rPr>
          <w:b/>
        </w:rPr>
        <w:t>mamman²</w:t>
      </w:r>
      <w:r>
        <w:rPr>
          <w:b w:val="0"/>
        </w:rPr>
        <w:t>», som herr Ericson talade om, ansvarar och redovisar för det försålda samt återlämnar det övriga. Men det är naturligtvis olika uppfattningar angående vad som kan anses vara missbruk av drycker eller icke. Jag ber att få erinra om, att när en pansarbåt grundstötte för någon tid sedan, insinuerades i en tidning, att befälet skulle ha varit med om en fest kort förut. Detta bestreds: Man hade icke druckit mer än vanligt. Ja, frågan är, huru mycket det kan vara.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221</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