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224</w:t>
      </w:r>
    </w:p>
    <w:p>
      <w:r>
        <w:rPr>
          <w:b/>
        </w:rPr>
        <w:t xml:space="preserve">Datum: </w:t>
      </w:r>
      <w:r>
        <w:t>1915-03-10</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Wavrinsky (Socialdemokraterna, man)</w:t>
      </w:r>
    </w:p>
    <w:p>
      <w:r>
        <w:rPr>
          <w:b w:val="0"/>
        </w:rPr>
        <w:t xml:space="preserve">I skrivelse till Kungl. Maj:t, nr 63, av den 25 april 1908 hemställde riksdagen, att »det täcktes Kungl. Maj:t taga under övervägande, huruvida och under vilka villkor livförsäkringsavtal till förmån för </w:t>
      </w:r>
      <w:r>
        <w:rPr>
          <w:b/>
        </w:rPr>
        <w:t>maka³</w:t>
      </w:r>
      <w:r>
        <w:rPr>
          <w:b w:val="0"/>
        </w:rPr>
        <w:t xml:space="preserve"> och barn må kunna medföra den verkan, att den på grund därav utfallande försäkringssumman kommer de efterlevande till godo utan inträng från den avlidnes borgenärer, samt därefter till riksdagen framlägga det förslag, vartill omständigheterna kunna giva anledning.»</w:t>
        <w:br/>
        <w:br/>
        <w:t>Genom remiss den 12 juni samma år anbefallde Kungl. Maj:t försäkringsinspektionen att lämna de försäkringsanstalter, vilkas hörande kunde anses lämpligt, tillfälle att yttra sig i anledning av denna skrivelse.</w:t>
        <w:br/>
        <w:br/>
        <w:t>Inspektionen anmodade samtliga svenska livoch olycksfallsförsäkringsbolag att i ärendet avgiva yttrande. Sådana yttranden inkommo från 8 försäkringsbolag och från Svenska livförsäkringsbolags direktörsförening, vilka jämte försäkringsinspektionens utlåtande den 14 oktober 1909 ingåvos till Kungl. Maj:t.</w:t>
        <w:br/>
        <w:br/>
        <w:t>I direktörsföreningens yttrande uttrycktes tvivelsmål, huruvida det över huvud tagit vore möjligt att annorledes än i samband med en fullständig lagstiftning om försäkringsavtal förverkliga det av riksdagen uttalade önskemål.</w:t>
        <w:br/>
        <w:br/>
        <w:t xml:space="preserve">Försäkringsinspektionen åter hävdade den uppfattning att uppgiften, ehuru svårigheter möta, beroende på att en lagstiftning av ifrågavarande innebörd, särskilt beträffande </w:t>
      </w:r>
      <w:r>
        <w:rPr>
          <w:b/>
        </w:rPr>
        <w:t>hustruns²</w:t>
      </w:r>
      <w:r>
        <w:rPr>
          <w:b w:val="0"/>
        </w:rPr>
        <w:t xml:space="preserve"> rätt, skulle komma att ingripa på andra viktiga lagstiftningsområden, likvisst kan tillfredsställande lösas utan samband med lagstiftningen om försäkringsavtal i allmänhet. Och inspektionen anvisade den väg, varpå enligt dess tanke, målet bör kunna nås utan att den viktiga frågan fastlåses vid den mycket vidsträcktare lagstiftningen om försäkringsavtal i allmänhet och dess lösning därmed länge fördröjes. Försäkringsinspektionen har fästat synnerligt beaktande därvid, att försäkringsväsendet är av väsentligen internationell karaktär och att en unifiering av olika länders lagstiftning på försäkringsväsendets område är både naturlig och önskvärd. I det hänseende riksdagens skrivelse begär Kungl. Maj:ts övervägande om lagstiftning, i den mån omständigheterna därtill giva anledning, är överensstämmelse med utlandets lagstiftning i svensk lag av nöden.</w:t>
        <w:br/>
        <w:br/>
        <w:t xml:space="preserve">Men därjämte fordras ändrade bestämmelser rörande </w:t>
      </w:r>
      <w:r>
        <w:rPr>
          <w:b/>
        </w:rPr>
        <w:t>hustruns²</w:t>
      </w:r>
      <w:r>
        <w:rPr>
          <w:b w:val="0"/>
        </w:rPr>
        <w:t xml:space="preserve"> ansvar för mannens gäld med tillgång som består i till </w:t>
      </w:r>
      <w:r>
        <w:rPr>
          <w:b/>
        </w:rPr>
        <w:t>hustruns²</w:t>
      </w:r>
      <w:r>
        <w:rPr>
          <w:b w:val="0"/>
        </w:rPr>
        <w:t xml:space="preserve"> förmån tagen livförsäkring, helst en bestämmelse av innehåll, att </w:t>
      </w:r>
      <w:r>
        <w:rPr>
          <w:b/>
        </w:rPr>
        <w:t>hustrun²</w:t>
      </w:r>
      <w:r>
        <w:rPr>
          <w:b w:val="0"/>
        </w:rPr>
        <w:t xml:space="preserve"> med dylik tillgång ei svarar för annan boets gemensamma gäld än sådan, därför </w:t>
      </w:r>
      <w:r>
        <w:rPr>
          <w:b/>
        </w:rPr>
        <w:t>hon²</w:t>
      </w:r>
      <w:r>
        <w:rPr>
          <w:b w:val="0"/>
        </w:rPr>
        <w:t xml:space="preserve"> särskilt gått i borgen eller eljest sig förbundit, såvida ej varje livförsäkring, tagen till förmån för </w:t>
      </w:r>
      <w:r>
        <w:rPr>
          <w:b/>
        </w:rPr>
        <w:t>henne²</w:t>
      </w:r>
      <w:r>
        <w:rPr>
          <w:b w:val="0"/>
        </w:rPr>
        <w:t xml:space="preserve"> får betraktas som </w:t>
      </w:r>
      <w:r>
        <w:rPr>
          <w:b/>
        </w:rPr>
        <w:t>hennes²</w:t>
      </w:r>
      <w:r>
        <w:rPr>
          <w:b w:val="0"/>
        </w:rPr>
        <w:t xml:space="preserve"> canskilda egendom. Utskottet hänvisar i detta senare fall till de bestämmelser, som för närvarande gälla om frihet från utmätning för de genom årliga inbetalningar i åtskilliga försäkringsbolag förvärvade pensioner för efterlevande änkor och barn.</w:t>
        <w:br/>
        <w:br/>
        <w:t xml:space="preserve">Rörande livförsäkringar, ställda till förmån för barn eller annan tredje man än </w:t>
      </w:r>
      <w:r>
        <w:rPr>
          <w:b/>
        </w:rPr>
        <w:t>hustrun²</w:t>
      </w:r>
      <w:r>
        <w:rPr>
          <w:b w:val="0"/>
        </w:rPr>
        <w:t>, synes förhållandena gestalta sig väsentligt enklare.</w:t>
        <w:br/>
        <w:br/>
        <w:t>Fortgången av denna för familjelivet mycket viktiga fråga, vilken första gången väcktes av undertecknad redan 1896, har länge följts med spänt intresse av allmänheten. Uteblivandet av förslag till vinnande av avsett ändamål väcker oro och bekymmer på många håll.</w:t>
        <w:br/>
        <w:br/>
        <w:t>Försäkringsinspektionen delar i allo riksdagens uppfattning om framför allt den sociala betydelsen av den begärda lagstiftningen. »Tryggandet av den efterlevandes eller barnens framtid i ekonomiskt hänseende är ett önskemål av så tvingande natur, att detsamma, där det genom en livförsäkring i någon mån kan uppnås, ej minst ur samhällelig synpunkt bör av lagstiftningen uppmärksammas och understödjas, för så vitt andras berättigade intressen därvid ej kränkas,» yttrade lagutskottet i sitt utlåtande till 1908 års riksdag.</w:t>
        <w:br/>
        <w:br/>
        <w:t>För att allmänheten må vinna någon klarhet om vad i detta avseende under den närmaste framtiden är att vänta, hemställer jag</w:t>
      </w:r>
    </w:p>
    <w:p>
      <w:pPr>
        <w:pStyle w:val="Heading2"/>
      </w:pPr>
      <w:r>
        <w:t>2. unknown (–, –)</w:t>
      </w:r>
    </w:p>
    <w:p>
      <w:r>
        <w:rPr>
          <w:b w:val="0"/>
        </w:rPr>
        <w:t>Denna för många synnerligen viktiga fråga har länge och upprepade gånger varit föremål för lagberedningars och lagstiftarnas uppmärksamhet och prövning. Lagkommittén och äldre lagberedningen föreslogo på sin tid några jämkningar och smärre ändringar i edgångsformuläret, vilka delvis vidtogos. Inskränkningar i edgång ha också i några fall vidtagits utan menliga följder. Men i allt väsentligt kvarstå kraven på grundlig refom av edgångsinstitutet i vårt land otillfredsställda.</w:t>
        <w:br/>
        <w:br/>
        <w:t>Vid behandling av motionen i fråga år 1903 strök lagutskottets vice ordförande under och betecknade såsom obetingat riktiga de viktiga huvudpunkterna i utskottets motivering: att det oförnekligen ligger något för rättskänslan mycket sårande däri, att till följd av den fordran på ed, lagen i vissa fall uppställer, personer, vilka av samvetsbetänkligheter vägra att gå eden, bliva föremål för rättsliga åtgärder, och att det ej står väl tillsammans med en högre uppfattning om edens vikt och innebörd att låta ed avläggas av personer, vilka äro främmande för det religiösa momentet, som ingår i eden. Och herr vice ordföranden tillade: Det kan väl icke bestridas, att det är principiellt riktigt att avskaffa ederna helt och hållet, och det har utskottet också uttalat, men utskottet har tillika uttalat, att de väsentligaste olägenheterna av nuvarande bestämmelser skulle ock undanrödjas därigenom, att de personer, vilkas religiösa uppfattning i ett eller annat hänseende är oförenlig med eds avläggande, finge rätt att undandraga sig eden.</w:t>
        <w:br/>
        <w:br/>
        <w:t>Till 1909 års lagutskottsutlåtande i samma ämne fogades av 7 av andra kammarens ledamöter en reservation. vari under liknande motivering som utskottets vice ordförandes ovan anförda yrkades:</w:t>
        <w:br/>
        <w:br/>
        <w:t>»att riksdagen, med anledning av förevarande motion, måtte i skrivelse till Kungl. Maj:t anhålla. att Kungl. Maj:t ville taga under övervägande. huruvida edgång må kunna utbytas mot en i annan hög-</w:t>
        <w:br/>
        <w:br/>
        <w:t>tidlig och bindande form avgiven försäkran, eller, om så ej anses kun- Ankållan att na i alla fall ske, i vad mån edgång bör inskränkas och i övrigt formen /&amp; framställa : o por sr se s så .. — interpellation för edgång förändras, samt därefter för riksdagen framlägga de för- "om olägenslag som därav kunna föranledas». heter beträf- Detta vrkande vann andra kammarens bifall, varemot första fande edgång kammaren biföll utskottets ovan anförda hemställan. Andra kam- (Forts) maren biträdde sedan för enighets vinnande första kammarens beslut. Om riksdagens skrivelse i följd härav sedan år 1909 föranlett någon Kungl. Maj:ts åtgärd har ännu ej försports. Vådorna av det djupgående missnöjet med den nu rådande ordningen vid edgång kräva uppmärksamhet och snara åtgärder till undanrödjande av de icke minst av lagutskottet vid behandlingen av nämnda motioner överklamissförhållandena. Vårt folk är på detta område verkligt efterlivet. Det allvarliga intresse varmed denna fråga följes av den allmänhet, som beröres av de rådande missförhållandena och den sedliga urartning, vartill dessa missförhållanden helt visst bidraga, föranleda mig att hos kammaren vördsamt anhålla, att till statsrådet och chefen för justitiedepartementet få framställa följande frågor: 1. Har från Kungl. Maj:ts sida någon åtgärd vidtagits för prövning och avhjälpande av de missförhållanden beträffande edgång, varom riksdagens skrivelse år 1909 begärde Kungl. Maj:ts övervägande? 2. Kan under den närmaste tiden någon framställning till riksdagen i bemälde skrivelses syfte motses?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