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233</w:t>
      </w:r>
    </w:p>
    <w:p>
      <w:r>
        <w:rPr>
          <w:b/>
        </w:rPr>
        <w:t xml:space="preserve">Datum: </w:t>
      </w:r>
      <w:r>
        <w:t>1915-05-03</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af Ekenstam (Lantmanna- och borgarepartiet inom andrakammaren, man)</w:t>
      </w:r>
    </w:p>
    <w:p>
      <w:r>
        <w:rPr>
          <w:b w:val="0"/>
        </w:rPr>
        <w:t xml:space="preserve">Herr talman, mina herrar! Jag har tillåtit mig att här framställa en reservation, i det jag föreslagit att första avdelningen i 3 8 skulle lyda på följande sätt. »Har trolovad </w:t>
      </w:r>
      <w:r>
        <w:rPr>
          <w:b/>
        </w:rPr>
        <w:t>kvinna¹</w:t>
      </w:r>
      <w:r>
        <w:rPr>
          <w:b w:val="0"/>
        </w:rPr>
        <w:t xml:space="preserve"> före eller under trolovningstiden blivit hävdad av mannen; brytes trolovning och bär mannen huvudsakligen skulden därtill, give han </w:t>
      </w:r>
      <w:r>
        <w:rPr>
          <w:b/>
        </w:rPr>
        <w:t>henne²</w:t>
      </w:r>
      <w:r>
        <w:rPr>
          <w:b w:val="0"/>
        </w:rPr>
        <w:t xml:space="preserve"> skäligt skadestånd.» Det är det där ordet före trolovningen, som här kommer in. Jag har med hänsyn till hela den uppställning lagen i övrigt har här, ansett, att det skulle ligga i lagförslagets anda och mening att, om verkligen trolovnin tillkommer efter hävdandet, </w:t>
      </w:r>
      <w:r>
        <w:rPr>
          <w:b/>
        </w:rPr>
        <w:t>kvinnan¹</w:t>
      </w:r>
      <w:r>
        <w:rPr>
          <w:b w:val="0"/>
        </w:rPr>
        <w:t xml:space="preserve"> skulle hava samma rätt til ersättning, som om det skett under äktenskap. Jag ber att få yrka bifall till reservationen.</w:t>
      </w:r>
    </w:p>
    <w:p>
      <w:pPr>
        <w:pStyle w:val="Heading2"/>
      </w:pPr>
      <w:r>
        <w:t>2. Berndt Hasselrot (–, man)</w:t>
      </w:r>
    </w:p>
    <w:p>
      <w:r>
        <w:rPr>
          <w:b w:val="0"/>
        </w:rPr>
        <w:t>Syftet med herr af Ekenstams reservation är uppenbarligen gott. Jag tror dock icke att det i sak skulle hava stor betydelse, om den bifölles.</w:t>
        <w:br/>
        <w:br/>
        <w:t xml:space="preserve">I fråga om 3 $ har lagutskottet ändrat Kungl. Maj:ts proposition. I första stycket har utskottet givit paragrafen följande lydelse: &gt;»Har </w:t>
      </w:r>
      <w:r>
        <w:rPr>
          <w:b/>
        </w:rPr>
        <w:t>kvinnan¹</w:t>
      </w:r>
      <w:r>
        <w:rPr>
          <w:b w:val="0"/>
        </w:rPr>
        <w:t xml:space="preserve"> under trolovningstiden blivit rådd med barn av mannen» i stället för motsvarande uttryck i det kungl. förslaget: »Har </w:t>
      </w:r>
      <w:r>
        <w:rPr>
          <w:b/>
        </w:rPr>
        <w:t>kvinnan¹</w:t>
      </w:r>
      <w:r>
        <w:rPr>
          <w:b w:val="0"/>
        </w:rPr>
        <w:t xml:space="preserve"> under trolovningstiden blivit hävdad av mannen.»</w:t>
        <w:br/>
        <w:br/>
        <w:t xml:space="preserve">Utskottet har i sin motivering sagt, att även om Kungl. Maj:ts förslag bleve lag, det ytterst sällan skulle inträffa att skadeståndsrätt enligt första stycket komme att göras gällande i andra fall än då havandeskap följt. Jag är övertygad om att lagutskottet här har rätt. »Men därav följer icke att ändringen komme att sakna praktisk betydelse. Denna betydelse är nämligen att söka på annat håll; den gäller främst omfattningen av det skadestånd, som tillmätes den förorättade </w:t>
      </w:r>
      <w:r>
        <w:rPr>
          <w:b/>
        </w:rPr>
        <w:t>kvinnan¹</w:t>
      </w:r>
      <w:r>
        <w:rPr>
          <w:b w:val="0"/>
        </w:rPr>
        <w:t xml:space="preserve">. Bestämmer man förutsättningen för skadeståndsrätten i enlighet med utskottets förslag, blir därav en följd, att domstolarna föranledas att utdöma ersättning endast för eventuellt liden ekonomisk skada och för VR lidande. Den övergivna </w:t>
      </w:r>
      <w:r>
        <w:rPr>
          <w:b/>
        </w:rPr>
        <w:t>kvinnan¹</w:t>
      </w:r>
      <w:r>
        <w:rPr>
          <w:b w:val="0"/>
        </w:rPr>
        <w:t xml:space="preserve"> kan däremot då ej tillerkännas den satisfaktion för den mot </w:t>
      </w:r>
      <w:r>
        <w:rPr>
          <w:b/>
        </w:rPr>
        <w:t>henne²</w:t>
      </w:r>
      <w:r>
        <w:rPr>
          <w:b w:val="0"/>
        </w:rPr>
        <w:t xml:space="preserve"> begångna oförrätten, vilken det kungl. förslaget med allt skäl avser att pålägga mannen.» Åtminstone herr Alexanderson känner igen dessa ord. Jag har näm-</w:t>
        <w:br/>
        <w:br/>
        <w:t>ligen tillåtit mig att återgiva hans ord, och det är med tillfreds- Lagförslag om</w:t>
        <w:br/>
        <w:br/>
        <w:t>ställelse jag kan instämma i vad han yttrat. äktenskaps ingående och</w:t>
      </w:r>
    </w:p>
    <w:p>
      <w:pPr>
        <w:pStyle w:val="Heading2"/>
      </w:pPr>
      <w:r>
        <w:t>3. Frithiof Söderbergh (Liberala samlingspartiet, man)</w:t>
      </w:r>
    </w:p>
    <w:p>
      <w:r>
        <w:rPr>
          <w:b w:val="0"/>
        </w:rPr>
        <w:t>Nominellt tillhör jag lagutskottets majo- = (Forts.) ritet, som vidtagit de ändringar uti ifrågavarande 3 8 och den påföljande 4 $ i samma kapitel, som man här vänt sig emot.</w:t>
        <w:br/>
        <w:br/>
        <w:t xml:space="preserve">Jag skall försöka att i allra största korthet angiva de skäl, som för lagutskottets majoritet torde varit bestämmande i detta fal. I det kungl. förslaget har fastslagits grundsatsen, att </w:t>
      </w:r>
      <w:r>
        <w:rPr>
          <w:b/>
        </w:rPr>
        <w:t>kvinnans¹</w:t>
      </w:r>
      <w:r>
        <w:rPr>
          <w:b w:val="0"/>
        </w:rPr>
        <w:t xml:space="preserve"> enbara hävdande, även om havandeskap icke följer därav, skulle för </w:t>
      </w:r>
      <w:r>
        <w:rPr>
          <w:b/>
        </w:rPr>
        <w:t>henne²</w:t>
      </w:r>
      <w:r>
        <w:rPr>
          <w:b w:val="0"/>
        </w:rPr>
        <w:t xml:space="preserve"> medföra rätt till skadestånd gentemot mannen. Den grundsatsen har förmenats icke stå i överenstämmelse med nutida rättsåskådning, och särskilt har man från </w:t>
      </w:r>
      <w:r>
        <w:rPr>
          <w:b/>
        </w:rPr>
        <w:t>kvinnohåll¹</w:t>
      </w:r>
      <w:r>
        <w:rPr>
          <w:b w:val="0"/>
        </w:rPr>
        <w:t xml:space="preserve">, där ifrågavarande spörsmål upptagits till diskussion, bestämt opponeråt sig mot denna grundsats. Man har framhållit, att här skulle man giva ett uttryck åt den uppfattningen, att </w:t>
      </w:r>
      <w:r>
        <w:rPr>
          <w:b/>
        </w:rPr>
        <w:t>kvinnan¹</w:t>
      </w:r>
      <w:r>
        <w:rPr>
          <w:b w:val="0"/>
        </w:rPr>
        <w:t xml:space="preserve"> genom könsumgänget blivit skadad till sin heder och att det nu skulle vara fråga om att giva </w:t>
      </w:r>
      <w:r>
        <w:rPr>
          <w:b/>
        </w:rPr>
        <w:t>henne²</w:t>
      </w:r>
      <w:r>
        <w:rPr>
          <w:b w:val="0"/>
        </w:rPr>
        <w:t xml:space="preserve"> en ersättning för den skada, som sålunda tillfogats </w:t>
      </w:r>
      <w:r>
        <w:rPr>
          <w:b/>
        </w:rPr>
        <w:t>henne²</w:t>
      </w:r>
      <w:r>
        <w:rPr>
          <w:b w:val="0"/>
        </w:rPr>
        <w:t>. Det skulle alltså bliva fråga om någon sorts ersättning för "könsumgänge. Däremot anses icke mannen hava lidit något men, eftersom det icke ifrågasatts att någon skadeståndsrätt skulle tillerkännas honom. Detta vore, menar man, att i lagstiftningen införa ett utslag av vad man brukar kalla den dubbla könsmoralen, och något så förkastligt borde man icke vara med om.</w:t>
        <w:br/>
        <w:br/>
        <w:t xml:space="preserve">För övrigt har erfarenheten från de ofullkomnade äktenskapen givit vid handen allt hittills, att det endast voro i de fall då </w:t>
      </w:r>
      <w:r>
        <w:rPr>
          <w:b/>
        </w:rPr>
        <w:t>kvinnan¹</w:t>
      </w:r>
      <w:r>
        <w:rPr>
          <w:b w:val="0"/>
        </w:rPr>
        <w:t xml:space="preserve"> blivit rådd med barn, som </w:t>
      </w:r>
      <w:r>
        <w:rPr>
          <w:b/>
        </w:rPr>
        <w:t>hon²</w:t>
      </w:r>
      <w:r>
        <w:rPr>
          <w:b w:val="0"/>
        </w:rPr>
        <w:t xml:space="preserve"> trätt fram och sökt göra sina anspråk gällande mot mannen.</w:t>
        <w:br/>
        <w:br/>
        <w:t>Jag tillåter mig för övrigt tro att bestämmelserna i fråga icke komma att hava någon vidare praktisk betydelse. Jag tror, att man fäst vid dessa bestämmelser förhoppningar, som icke komma att realiseras.</w:t>
        <w:br/>
        <w:br/>
        <w:t xml:space="preserve">Nu vill jag bekänna, att det endast varit med tvekan jag anslutit mig till utskottets majoritet, och jag skall icke heller för min del framställa något yrkande. Men det vill jag hava sagt, att jag alldeles icke kan biträda den speciella mening, som av herrar af Ekenstam och medreservanter framförts, enligt vilken mening trolovad </w:t>
      </w:r>
      <w:r>
        <w:rPr>
          <w:b/>
        </w:rPr>
        <w:t>kvinna¹</w:t>
      </w:r>
      <w:r>
        <w:rPr>
          <w:b w:val="0"/>
        </w:rPr>
        <w:t xml:space="preserve"> skulle få skadeståndsrätt för hävdande, som förekommit även innan trolovningstiden. Det förefaller mig vara en högst besynnerlig och ganska opåkallad utsträckning av skadeståndsplikten, som man här påyrkar, och jag kan icke finna, att herr af Ekenstam nu på ringaste sätt motiverat sitt yrkande härom. Jag skulle icke kunna gå längre än det kungl. förslaget, som omfattats av, bland andra utskottets ordförande, herr Petersson i Lidingö villastad, samt av herrar Gezelius och Alexanderson i denna kammare.</w:t>
        <w:br/>
        <w:br/>
        <w:t>Som sagt, herr talman, jag gör inte något yrkande.</w:t>
      </w:r>
    </w:p>
    <w:p>
      <w:pPr>
        <w:pStyle w:val="Heading2"/>
      </w:pPr>
      <w:r>
        <w:t>4. Nils Alexanderson (Liberala samlingspartiet, man)</w:t>
      </w:r>
    </w:p>
    <w:p>
      <w:r>
        <w:rPr>
          <w:b w:val="0"/>
        </w:rPr>
        <w:t xml:space="preserve">Vi äro åtminstone sex och efter vad som framgick av herr Söderberghs anförande nästan sju från utskottet inom denna kammare, som äro så tillvida ense med det kungl. förslaget, att vi vilja lämna den trolovade </w:t>
      </w:r>
      <w:r>
        <w:rPr>
          <w:b/>
        </w:rPr>
        <w:t>kvinnan¹</w:t>
      </w:r>
      <w:r>
        <w:rPr>
          <w:b w:val="0"/>
        </w:rPr>
        <w:t xml:space="preserve"> rätt till skadestånd i händelse av brytning genom mannens skuld, så snart hävdande förekommit och icke blott när </w:t>
      </w:r>
      <w:r>
        <w:rPr>
          <w:b/>
        </w:rPr>
        <w:t>kvinnan¹</w:t>
      </w:r>
      <w:r>
        <w:rPr>
          <w:b w:val="0"/>
        </w:rPr>
        <w:t xml:space="preserve"> blivit rådd med barn. I likhet med herr Söderbergh anser jag, att man icke har anledning att gå längre ifråga om skadeståndsrättens utsträckning än det kungl. förslaget har gjort. Ty den grund för skadeståndsrätten, som åberopas i det kungl. förslaget, är egentligen, såvitt mig synes, vad som därför kan åberopas, nämligen att hävdandet har skett under inflytande av det knutna trohetsförbundet. Å andra sidan tror jag på de skäl, som redan anförts av herr statsrådet och chefen för justitiedepartementet, att det skulle vara av synnerlig vikt att icke utskottets utan herr Peterssons i Lidingö villastad reservation och därmed det kungl. förslaget bleve godkänt. Därmed skulle man i själva verket göra den skadeståndsrätt, varom här är fråga, på ett helt annat sätt effektiv, än den kan bliva med utskottets formulering. De skäl herr Söderbergh anförde synas mig i detta fall icke avgörande. Frågan om vilken dom omgivningen fäller över man och </w:t>
      </w:r>
      <w:r>
        <w:rPr>
          <w:b/>
        </w:rPr>
        <w:t>kvinna¹</w:t>
      </w:r>
      <w:r>
        <w:rPr>
          <w:b w:val="0"/>
        </w:rPr>
        <w:t xml:space="preserve"> i fall av utomäktenskapliga könsförbindelser kommer icke att bliva beroende på huru förevarande stadgande avfattas. Men däremot kommer </w:t>
      </w:r>
      <w:r>
        <w:rPr>
          <w:b/>
        </w:rPr>
        <w:t>kvinnans¹</w:t>
      </w:r>
      <w:r>
        <w:rPr>
          <w:b w:val="0"/>
        </w:rPr>
        <w:t xml:space="preserve"> möjlighet till ekonomisk upprättelse och mannens risk av skälig näpst för hans förhållande att genom sitt förvållande bryta en trolovning, på vilken följt ett hävdande, att bliva på ett helt annat sätt tillvaratagna, om Kungl. Maj:ts förslag godkännes. Jag ber således att få yrka bifall till Kungl. Maj:ts förslag.</w:t>
      </w:r>
    </w:p>
    <w:p>
      <w:pPr>
        <w:pStyle w:val="Heading2"/>
      </w:pPr>
      <w:r>
        <w:t>5. Johan Thyren (Utan partibeteckning, man)</w:t>
      </w:r>
    </w:p>
    <w:p>
      <w:r>
        <w:rPr>
          <w:b w:val="0"/>
        </w:rPr>
        <w:t>För min del ber jag att få instämma i herr af Ekenstams reservation. Det har visserligen sagts här, att det icke skulle spela så stor praktisk roll, ifall man inför detta tillägg före trolovning». Jag tror för min del att judikaturen visar icke så få fall, där 5 kap. 1 8 giftermålsbalken åberopas, och som således hänföra sig till detta fall.</w:t>
        <w:br/>
        <w:br/>
        <w:t xml:space="preserve">För övrigt vill jag uttala som min uppfattning, att om det förekommer hävdande och därpå mannen trolovar sig med </w:t>
      </w:r>
      <w:r>
        <w:rPr>
          <w:b/>
        </w:rPr>
        <w:t>kvinnan¹</w:t>
      </w:r>
      <w:r>
        <w:rPr>
          <w:b w:val="0"/>
        </w:rPr>
        <w:t>, får detta snarast innebära en presumtion för att det från början varit ett förhållande, som uppfattats såsom blivande äktenskap, även om icke ett formellt äktenskapsavtal förelegat.</w:t>
        <w:br/>
        <w:br/>
        <w:t xml:space="preserve">Jag kan således icke finna annat, än att billig hänsyn till </w:t>
      </w:r>
      <w:r>
        <w:rPr>
          <w:b/>
        </w:rPr>
        <w:t>kvinnan¹</w:t>
      </w:r>
      <w:r>
        <w:rPr>
          <w:b w:val="0"/>
        </w:rPr>
        <w:t xml:space="preserve"> ovillkorligen kräver att giva </w:t>
      </w:r>
      <w:r>
        <w:rPr>
          <w:b/>
        </w:rPr>
        <w:t>henne²</w:t>
      </w:r>
      <w:r>
        <w:rPr>
          <w:b w:val="0"/>
        </w:rPr>
        <w:t xml:space="preserve"> talan även i detta fall.</w:t>
        <w:br/>
        <w:br/>
        <w:t>Vad beträffar kontroversen mellan Kungl. Maj:ts och utskotts- ERA förslag, står jag på Kungl. Maj:ts ståndpunkt och vill icke hava uttrycket »rådd med bara». Jag tror, såsom herr Alexanderson anfört i reservationen, att denna förändring skulle mer eller mindre direkt påverka judikaturen därhän, att den lämpade skadeståndet efter kostnaden för barnsbörden m. m., och det vill jag icke vara med om.</w:t>
        <w:br/>
        <w:br/>
        <w:t>Jag ber, herr talman, att få yrka bifall till herr af Eken-Lagförslag om</w:t>
        <w:br/>
        <w:br/>
        <w:t>stams reservation. äktenskaps ingående och</w:t>
      </w:r>
    </w:p>
    <w:p>
      <w:pPr>
        <w:pStyle w:val="Heading2"/>
      </w:pPr>
      <w:r>
        <w:t>6. Karl Ekman (Första kammarens nationella parti, man)</w:t>
      </w:r>
    </w:p>
    <w:p>
      <w:r>
        <w:rPr>
          <w:b w:val="0"/>
        </w:rPr>
        <w:t xml:space="preserve">Jag skall ock be att få instämma i herr af Ekenstams reservation på de skäl herr Thyrén anfört. (Forts) Jag skall endast tillägga, att det dock icke kan förnekas att i det fall, hävdandet gått före och trolovningen kommer efteråt, detta naturligtvis betyder, att mannen har känt en förpliktelse att gottgöra </w:t>
      </w:r>
      <w:r>
        <w:rPr>
          <w:b/>
        </w:rPr>
        <w:t>kvinnans¹</w:t>
      </w:r>
      <w:r>
        <w:rPr>
          <w:b w:val="0"/>
        </w:rPr>
        <w:t xml:space="preserve"> lidande, och man bör icke genom lagstiftningen motarbeta en sådan rättfärdighetskänsla hos mannen. Därtill kommer en annan sak. Det heter i promulgationsförordningen, $ 8, att »barn, som är avlat i trolovning eller vars föräldrar efter barnets avlelse ingått trolovning med varandra, är äkta barn», och likaså heter det längre ned i paragrafen, »avlar man barn med sin trolovade eller i lönskaläge, därå sedan trolovning följer», så får under vissa omständigheter </w:t>
      </w:r>
      <w:r>
        <w:rPr>
          <w:b/>
        </w:rPr>
        <w:t>kvinnan¹</w:t>
      </w:r>
      <w:r>
        <w:rPr>
          <w:b w:val="0"/>
        </w:rPr>
        <w:t xml:space="preserve"> skadestånd. När således i dessa fall den omständigheten att hävdandet gått före trolovningen icke förminskar barnets och </w:t>
      </w:r>
      <w:r>
        <w:rPr>
          <w:b/>
        </w:rPr>
        <w:t>kvinnans¹</w:t>
      </w:r>
      <w:r>
        <w:rPr>
          <w:b w:val="0"/>
        </w:rPr>
        <w:t xml:space="preserve"> rätt, kan jag icke förstå varför en olika princip skall göra sig gällande här. Jag fäster stor vikt vid, att herr af Ekenstams reservation beviljas och ber att få yrka bifall därtill.</w:t>
      </w:r>
    </w:p>
    <w:p>
      <w:pPr>
        <w:pStyle w:val="Heading2"/>
      </w:pPr>
      <w:r>
        <w:t>7. Theodor af Ekenstam (Lantmanna- och borgarepartiet inom andrakammaren, man)</w:t>
      </w:r>
    </w:p>
    <w:p>
      <w:r>
        <w:rPr>
          <w:b w:val="0"/>
        </w:rPr>
        <w:t>Jag tillåter mig, herr talman, att yrka bifall till Kungl. Maj:ts förslag allenast med den ändring, att orden &gt;»21 år» utbytas emot »18 år. De reservanter, jag tillhör, hava nämligen ansett att, som 18 år är den i svenska lagen i allmänhet antagna kriminella strafftidens början, så vore det ock lämpligt och riktigt att den förpliktelse, som här kan inträda, skulle börja vid 18 år.</w:t>
        <w:br/>
        <w:br/>
        <w:t>Är den ene av föräldrarna död eller sinnessjuk eller sinnesslö, eller kan yttrande från den ene ej utan märklig omgång eller tidsutdräkt inhämtas, vare den andres samtycke tillfyllest. Är sådant fall för handen beträffande båda föräldrarna, tage den trolovade samtycke av förmyndaren, eller, där särskild förmyndare ej är nämnd, av annan giftoman, som rätten eller domaren på anmälan förordnar.</w:t>
      </w:r>
    </w:p>
    <w:p>
      <w:pPr>
        <w:pStyle w:val="Heading2"/>
      </w:pPr>
      <w:r>
        <w:t>8. Emil Gezelius (–, man)</w:t>
      </w:r>
    </w:p>
    <w:p>
      <w:r>
        <w:rPr>
          <w:b w:val="0"/>
        </w:rPr>
        <w:t xml:space="preserve">I denna 8 förekommer för första gången i lagförslaget det främmande ordet separation, som efter vad utskottet behagade erinra sig en del reservanter i betänkandet hemställt måtte utbytas mot det svenska ordet hemskillnad. Det är visserligen ingenting så utomordentligt riksviktigt vilkendera beteckningen man har, men det synes mig icke finnas anledning att här tillgripa ett främmande ord. Vårt språk är icke så fattigt, att man icke skulle kunna skapa ett uttryck, som betecknar vad man här vill. Vi hava äktenskapsskillnad och boskillnad, eklatanta bevis på denna möjlighet. Och det är fullkomligt i samstämmighet med dessa uttryck som hemskillnad här skulle användas för angivande av det begrepp, här är fråga om, den äktenskapliga samlevnadens hävande. Lagberedningen har tagit den konsekvensen att av ordet ifråga bilda ett adjektiv och 1 deras förslag till 6 kap. 3 8 återfinner man uttrycket «separerade» makar. Departementschefen har i känslan av att det kanske icke lät fullt så trevligt kommit ifrån svårigheten med en omskrivning, men skall man föra in ordet separation, komma i språk och skrift även »separerade» </w:t>
      </w:r>
      <w:r>
        <w:rPr>
          <w:b/>
        </w:rPr>
        <w:t>hustrur²</w:t>
      </w:r>
      <w:r>
        <w:rPr>
          <w:b w:val="0"/>
        </w:rPr>
        <w:t xml:space="preserve"> såsom en konsekvens. Jag tror icke att lagförslaget skulle i något avseende förlora genom att man återgick till vårt gamla språk och använde ordet hemskillnad, desto mindre som detta institut icke kan anses vara av den</w:t>
        <w:br/>
        <w:br/>
        <w:t>(Forts.) Jag ber ock att få bemöta en eventuell invändning mot att det för dessa internationella förhållanden skulle vara lämpligt att använda det främmande ordet separation. I syfte att tillgodose denna synpunkt har jag i reservation vid förslaget till lag rörande vissa Internationella rättsförhållanden rörande äktenskap och förmynderskap, där även ett kapitel om äktenskapaskillnad och separation förekommer, hemställt, att där hemskillnad visserligen skulle vara uttrycket, men åtföljas av uttrycket av separation inom parentes i rubriken liksom i 1 $ av samma kapitel. Däemed torde all den hänsyn man kan vara skyldig de internationella mellanhavandena hava blivit tagen.</w:t>
        <w:br/>
        <w:br/>
        <w:t>Jag hemställer alltså, herr talman, att i denna $, sista stycket, ordet separation utbytes mot hemskillnad och jag vågar på samma gång hemställa, med den restriktion jag nyss skisserade i avseende å lagen om internationella rättsförhållanden, att var helst i lagtext ordet separation förekommer det må utbytas mot ordet hemskillnad.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