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1324</w:t>
      </w:r>
    </w:p>
    <w:p>
      <w:r>
        <w:rPr>
          <w:b/>
        </w:rPr>
        <w:t xml:space="preserve">Datum: </w:t>
      </w:r>
      <w:r>
        <w:t>1916-04-13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Erik Räf (Lantmanna- och borgarepartiet inom andrakammaren, man)</w:t>
      </w:r>
    </w:p>
    <w:p>
      <w:r>
        <w:rPr>
          <w:b w:val="0"/>
        </w:rPr>
        <w:t>Jag tror, att kammaren skall erkänna, att bland de allra svåraste frågor, som vi ha att behandla här i riksdagen, äro just sådana frågor som röra samvetsbetänkligheter, det må nu gälla de värnpliktiges tjänstgörnig, söndagsvilan eller vad som helst. Det ges helt säkert inga frågor, som äro svårare att nöjaktigt lösa än just sådana frågor. I detta fall gäller det en ny sådan angelägenhet, där samvetsbetänkligheter kunna spela in; det intygas av Kungl. Maj:t liksom även av lagutskottet, och jag tror, att rätt så många av kammarens ledamöter se saken på samma sätt. Vi kunna också vara säkra om, att om denna lag nu antages, frågan om de samvetsbetänkligheter, som förefinnas beträffande denna angelägenhet, skall åter och åter komma på kammarens bord. Jag tror nämligen icke, att i och med det att vi tilläventyrs antaga detta lagförslag här i dag motståndet mot tvångsvaccinationen skall bliva mindre, utan fast hellre</w:t>
        <w:br/>
        <w:br/>
        <w:t>skall det bliva större. Det är nog icke heller på det sättet, att detta 4ng. lag om motstånd endast kommer från vänstersidan, såsom här blivit antytt, PS utan det kommer även rätt mycket, tror jag, från högersidan, och = (Forts) lyckligtvis synas verkligen partibildningarna i denna fråga vara i synnerlig hög grad upplösta.</w:t>
        <w:br/>
        <w:br/>
        <w:t xml:space="preserve">Vidare skall jag be att få säga, att motståndet i detta fall kommer icke endast från de manliga individerna i det svenska samhället utan det kommer helt säkert lika mycket från den </w:t>
      </w:r>
      <w:r>
        <w:rPr>
          <w:b/>
        </w:rPr>
        <w:t>kvinnliga¹</w:t>
      </w:r>
      <w:r>
        <w:rPr>
          <w:b w:val="0"/>
        </w:rPr>
        <w:t xml:space="preserve"> sidan, och kanske framträder motståndet därifrån i än bjärtare dager. Det är icke blott fäderna som äro ledsna över denna sak, utan även </w:t>
      </w:r>
      <w:r>
        <w:rPr>
          <w:b/>
        </w:rPr>
        <w:t>mödrarna²</w:t>
      </w:r>
      <w:r>
        <w:rPr>
          <w:b w:val="0"/>
        </w:rPr>
        <w:t xml:space="preserve">; många tusenden </w:t>
      </w:r>
      <w:r>
        <w:rPr>
          <w:b/>
        </w:rPr>
        <w:t>mödrar²</w:t>
      </w:r>
      <w:r>
        <w:rPr>
          <w:b w:val="0"/>
        </w:rPr>
        <w:t xml:space="preserve"> i våra bygder uppresa sig mot själva tvånget i denna fråga. . .</w:t>
        <w:br/>
        <w:br/>
        <w:t>Jag sade nyss, att det är erkänt, att här föreligger anledning till samvetsbetänkligheter. Detta erkännes från snart sagt alla håll. Sålunda säger här lagutskottet: »Men då det nu knappast från något sakkunnigt håll bestrides, att fara för menlig påföljd icke är absolut utesluten» etc. Faran för att skicka sitt barn till vaccination är alltså icke utesluten, och om vi här hade de tusentals föräldrar, som kunde intyga riktigheten av detta, skulle helt säkert snart sagt alla riksdagshusets lokaler icke förslå att rymma dem alla. Själv antydde jag förlidet år, att jag bevittnat synnerligen ohyggliga fall, där verkningarna av vaccinationen varit särdeles ledsamma, och dessa fall ligga mig så nära, att ingenting kan ligga mig närmare, ty det gäller just föräldrars förhållande till sina barn. Dessa fall ha varit så ohyggliga, att av allt som inträffat inom familjen, vet jag icke något, som varit svårare än just detta.</w:t>
        <w:br/>
        <w:br/>
        <w:t>För att vidare ge bekräftelse på, att här verkligen föreligger anledning till samvetsbetänkligheter, ber jag att få läsa upp följande rader ur lagutskottets eget utlåtande: »Det låter sig icke förnekas, att det motstånd mot tvångsvaccinationen, om faktiskt föreligger, i vissa fall orsakats av en verklig, fast rotad övertygelse om vaccinationens hälsofarlighet.&gt; Man är här i sitt samvete fullständigt övertygad om det farliga i vaccineringen, men likväl tvingas man av myndigheterna att underkasta sig densamma.</w:t>
        <w:br/>
        <w:br/>
        <w:t>Nu har nog helt säkert Kungl. Maj:t tagit ett visst intryck av debatten förlidet år och måhända också av grundlagens bud, att »Konungen skall ingens samvete tvinga eller tvinga låta». I det kungl. förslaget har man därför också sökt lösa svårigheterna i avseende å dessa samvetsbetänkligheter. Man har hos Kungl. Maj:t verkligen känt med sig, att det finnes sådana allvarliga betänkligheter, som lagutskottet här talar om, och därför har Kungl. Maj:t även försökt öppna en port för dessa, som ha verkliga samvetsbetänkligheter, men lagutskottet har tilltäppt även denna lilla port och här föreligger ett lagutskottsförslag, där myndigheterna få en tvingande makt över alla, även över dem, som hysa samvetsbetänkligheter, trots det man medgiver, att verklig grund till sådana kunna förekomma.</w:t>
        <w:br/>
        <w:br/>
        <w:t>Det är alldeles givet, att med de erfarenheter, som både jag och många, många andra ha om denna sak, detta förslag ej är tilltalande.</w:t>
        <w:br/>
        <w:br/>
        <w:t>vadan det är mig blankt omöjligt att här rösta därför. Jag måste således, herr talman, yrka avslag å utskottets hemställan.</w:t>
      </w:r>
    </w:p>
    <w:p>
      <w:pPr>
        <w:pStyle w:val="Heading2"/>
      </w:pPr>
      <w:r>
        <w:t>2. unknown (–, –)</w:t>
      </w:r>
    </w:p>
    <w:p>
      <w:r>
        <w:rPr>
          <w:b w:val="0"/>
        </w:rPr>
        <w:t>Jag har begärt ordet närmast för att inlägga en gensaga mot min partivän herr Sven Persson. Han spann här väsentligen på samma tråd som förut i utskottet. Han ansåg nämligen, att man genom ett bifall till den av mig och herr Bernhard Eriksson föreslagna samvetsklausulen skulle komma att fullständigt riva upp gärdet för alla antivaccinatörer. Jag erkänner villigt, att jag icke förstår, hur en sådan tanke kan formas av herr Sven Persson.</w:t>
        <w:br/>
        <w:br/>
        <w:t>Huru skall egentligen en klausul vara beskaffad för att tjäna såsom en verklig klausul? Jo, den skall vara sådan, att den håller dem, som äro slöa och likgiltiga, utanför klausulens undantagsbestämmelser. Och jag vill bestämt hålla på, att den av mig och herr Bernhard Eriksson formulerade klausulen är sådan, att den fyller de bestämt formulerade kraven härvidlag. Enligt den av os3 framlagda klausulen måste den, som söker befrielse, för det första vända sig till en tjänsteläkare. Han får där upplysning från sakkunnig person, och man kan således icke i detta fall tala om någon uppagiterad stämning eller någon känslostämning. Detta är alltså den första garantien, och talet om en tillfällig känslostämning faller fullständigt till föga på den punkten. För det andra kräva vi, som bekant, att man skall personligen vända sig till länsmannen eller kronofogden. Denna personliga inställelse skapar en viss garanti; en garanti n:r 2, som innebär, att varje tal om, att man utan besvär kan vinna befrielse, fullständigt faller till marken.</w:t>
        <w:br/>
        <w:br/>
        <w:t>För det tredje måste den, som söker befrielse, hos tjänsteläkaren underkasta sig själv en viss liten kostnad för det intyg, som erfordras. Denna tredje garanti innebär alltså, att man måste ikläda sig ett visst offer för att få sina synpunkter tillgodosedda. När vi således ställa alla dessa garantier, är det, såvitt jag förstår, ett fullkomligt nonsens att säga, att vårt förslag innebär alltför litet hinder eller alltför litet besvär, så att det blir en klausul, som river upp gärdet och låter vem som helst utan vidare slinka igenom det hålet.</w:t>
        <w:br/>
        <w:br/>
        <w:t>Man har också sagt från samma håll — det framhölls särskilt av herr Löwegren förra riksdagen — att då vi kräva av var och en, som avgiver förbindelse på heder och samvete, att han har vissa betänkligheter i detta fall, så kan detta icke tillmätas samma värde i vårt land som en dylik förbindelse har i England, där befolkningen sedan länge är van vid detta, vilket däremot icke är fallet med oss här i Sverige. Detta är väl ändock, såvitt iag kan förstå, en rätt stor förolämpning mot Sveriges folk, som ju i alla fall har samma hederskänsla som främmande folk utan undantag. Jag tror, att det svenska folket sannerligen kan avlämna förbindelse på heder och samvete med fullständigt samma moraliska styrka</w:t>
        <w:br/>
        <w:br/>
        <w:t>som en förbindelse, avgiven exempelvis av en medborgare, som tillhör det engelska folket. När herr Hult och jag inom det särskilda utskottet i fjol formulerade en dylik klausul, föreslogo vi, att man först skulle vända sig till prästen. Detta möttes inom utskottet av en viss lustig undran. Man giorde sig löjlig däröver och sade från utskottets sida, att prästen har man ju icke alls någon respekt för och att ingenting vore vunnet med, om man genomdreve en sådan fordran. Jag vet icke, om utskottet hade rätt härutinnan, men jag vet i varje fall, att om man fordrar, att förbindelsen, såsom vi här föreslagit, skall avlämnas antingen till länsmannen eller till kronofogden, alltså till en myndighet, som är representant för lag och rätt, så har sannerligen den, som lämnar en dylik förbindelse, vederbörlig respekt för denne länsman eller kronofogde.</w:t>
        <w:br/>
        <w:br/>
        <w:t>Det är nog i stället så, att på många ställen i vårt land har befolkningen icke bara respekt utan till och med en ganska stor skräckstämning inför dessa myndigheternas talemän, och jag tror, att den, som står i dessa myndigheters tambur eller ämbetsrum med en sådan förbindelse på heder och samvete, prövar sitt eget samvete, innan han någonsin framlämnar densamma.</w:t>
        <w:br/>
        <w:br/>
        <w:t>Nu har det sagts från utskottets sida — och herr Sven Persson var även inne på den tankegången — att om man går på herr Bernhard Erikssons och min linje och skapar en sådan samvetsklausul, skulle man lägga det mest ypperliga underlag för en fortsatt agitation mot vaccinationen i vårt land. Jag tillåter mig betvivla, att man kan med full rätt fälla ett sådant påstående. Jag förstår det över huvud taget icke. Det skulle kunna gälla regringens samvetsklausul, ty den lovar mer, än vad den kan hålla; den ger en del löften och förhoppningar på hand, förhoppningar, som sedan svikas med den följd, att bitterhet och misstämning måste växa upp bland de befolkningslager, som blivit lurade av Kungl. Maj:ts klausul. Men den av herr Bernhard Eriksson och mig framlagda klausulen lovar precis vad den kan hålla, varken mer eller mindre. Jag an-</w:t>
        <w:br/>
        <w:br/>
        <w:t>ser därför, att denna beskyllning icke drabbar den av oss formule-</w:t>
        <w:br/>
        <w:br/>
        <w:t>rade klausulen. Den skulle kunna liknas vid en säkerhetsventil, en sådan, som mildrar den värsta spänningen. Men går man på utckottets linje, lämnar man säkerligen mycket bränsle till det förut flammande antivacceinationsbålet, och man bidrar till att stärka den starka misstämning, som förut förefinnes inom stora lager av svenska medborgare.</w:t>
        <w:br/>
        <w:br/>
        <w:t>Man kan gott säga, att med maktspråk vinner man ingenting; det behövs litet mjukare händer. Jag tillåter mig hänvisa till ett uttalande av Konungen till den för icke så länge sedan här i Stockholm samlade bekanta nykterh :tsdeputationen. Där yttrade Konuncen, som bekant: »De kritiska tider, vi nu genomleva, synas likväl kräva, att från min sida även i detta avseende den varsamhet iakttages, att ej sådana förslag föras å bane, om vilka meningarna stå skarpt skilda och vilka måste befaras framkalla inre strider.» Ja, detta uttalande i den frågan skulle iag vilja i vaccinationsfrågan hänskjuta till närmare studium av Kungl Maj:ts egen regering.</w:t>
        <w:br/>
        <w:br/>
        <w:t>Jag tror, att om den begrundade denna tankegång, så skulle den icke, såsom herr civilministern gjorde, hålla så starkt på tvånget i denna fråga utan varje som helst varsamhet och förmildring av densamma. De orden äro sannerligen också värda att annammas även av dem bland kammarens ledamöter, som äro anhängare av det mest ytterliga tvång i denna fråga, men som på samma gång kanske förehava ett visst litet koketteri med den s. k. medborgarefriheten, då det gäller den delvis på förbudets väg förda kampen mot alkoholismen inom vårt land, kampen mot en folksjukdom, som årligen skördar mångdubbelt flera offer än kopporna göra på årtionden. Detta koketteri kräver dock en viss sympati och respekt för den s. k. samvetsfriheten, som i den frågan icke är annat än bara njutningsoch vinstintresse. Sedan hemställer jag, om icke denna Konungens tanke skulle kunna begrundas även en smula av förbudets anhängare på andra sidan, av dem, som i militärfrågan med full rätt, synes det mig, hävda en viss respekt för samvetsfriheten, då det gäller icke kampen och värnet mot inre fiender utan mot yttre fiender.</w:t>
        <w:br/>
        <w:br/>
        <w:t>När jag lyssnade till herr civilministerns anförande, slog det mig, att han i slutet av detsamma delvis slog in på samma tonfall, som vi hörde synnerligast under förra årets riksdagsdebatt. Det var den s. k. ryska faran, som kastade en liten avspegling även i herr civilministerns anförande i dagens debatt. Under fjolårets debatt i denna fråga blevo vi över hövan bönhörda. Vi hörde varningar från herr von Sydows sida, från herr Brantings sida och från herr Lindmans sida o. s. v. om denna hotande ryska fara, som skulle göra att vi måste bums: ögonblickligen, utan ringaste betänkligheter och utan någon verklig saklig granskning gå till votering om Kungl. Maj:ts vaccinationsförslag. Ja, herr Löwegren fällde ju t. o. m. det påståendet, att hin står i farstun, för att därmed skrämma riktigt ordentligt oss, som icke ville böja oss för det skarpa tvånget, att falla undan inför den ryska faran. Jag tror, att även herr civilministern har den känslan, att detta krutet är till stor del redan bortskjutet. Det går icke att använda det med samma styrka 1 år som i fjol, utan man måste spara på det en smula. Dessutom få vi väl dock komma ihåg, att det visst icke är varken i år eller i fjol, som Sverige blivit placerat invid den ryska faran, utan vi ha legat i detta geografiska läge under rätt många årtionden förut. Då herr civilministern i fjol fällde till kammarens protokoll det uttalandet, att det årligen dött i Ryssland 100,000 personer i smittkoppor, vill jag påpeka, att vi legat intill den faran i rätt många årtionden och att vi faktiskt undgått den utan nämnvärd smitta, och det visar. att de anstalter, vi redan hava, till synnerligen stor del äro tillräckliga, då det gäller att mota denna form av den s. k. ryska faran.</w:t>
        <w:br/>
        <w:br/>
        <w:t>Herr civilministern yttrade i sitt anförande, att han ville inte taga fram koppfallet i Boden, och jag förstår herr civilministern så gott och väl, då han icke tar fram detta koppfall i Boden, ty iag tror, att skulle man begagna detsamma såsom vapen mot oss, som yrka på en samvetsklausul, så skulle det vapnet slinta och i stället</w:t>
        <w:br/>
        <w:br/>
        <w:t>träffa synnerligen starkt det håll, från vilket ett sådant vapen användes. Pressen här i Stockholm har emellertid i dag sökt använvända detsamma, och jag djärves därför en smula gå in på ett klarläggande av det bekanta smittkoppsfallet i Boden.</w:t>
        <w:br/>
        <w:br/>
        <w:t xml:space="preserve">Det var en tidning i dag, som upprepade de orden från första kammaren, jag tror det var av nuvarande talmannen de fälldes en gång, då han sade, att vår Herre består motiveringen. Det är mycket möjligt; det är bara fråga om, åt vilket håll vår Herre i denna fråga består motiveringen. Jag törs påstå, att i varje fall bestås icke denna motivering gentemot den ståndpunkt, jag förfäktar, utan det förefaller mig, som om i stället motiveringen där ovanifrån skulle komma att riktas mot den ståndpunkt, på vilken exempelvis herr civilministern ställt sig. Jag har här i min hand ett telegram, som kommit från Boden, från förre polisuppsyningsmannen därstädes, och som är tämligen belysande, hur det egentligen är ställt med smittkoppsfallet i Boden. Telegrammet är avsänt den 11 i denna månad och lyder på följande sätt: »Smittkoppor konstaterade, insjuknade och isolerade äro arbetaren Ström, </w:t>
      </w:r>
      <w:r>
        <w:rPr>
          <w:b/>
        </w:rPr>
        <w:t>hustrun²</w:t>
      </w:r>
      <w:r>
        <w:rPr>
          <w:b w:val="0"/>
        </w:rPr>
        <w:t xml:space="preserve">, en tioårig </w:t>
      </w:r>
      <w:r>
        <w:rPr>
          <w:b/>
        </w:rPr>
        <w:t>dotter²</w:t>
      </w:r>
      <w:r>
        <w:rPr>
          <w:b w:val="0"/>
        </w:rPr>
        <w:t xml:space="preserve"> och en tvåårig </w:t>
      </w:r>
      <w:r>
        <w:rPr>
          <w:b/>
        </w:rPr>
        <w:t>fosterdotter²</w:t>
      </w:r>
      <w:r>
        <w:rPr>
          <w:b w:val="0"/>
        </w:rPr>
        <w:t xml:space="preserve">. Ström först insjuknat, nu frisk, varit vaccinerad tre gånger, senast för två år, </w:t>
      </w:r>
      <w:r>
        <w:rPr>
          <w:b/>
        </w:rPr>
        <w:t>hustrun²</w:t>
      </w:r>
      <w:r>
        <w:rPr>
          <w:b w:val="0"/>
        </w:rPr>
        <w:t xml:space="preserve"> lindrigt sjuk, vaccinerades i barndomen, båda barnen vaccinerade, det tioåriga svårt sjukt men nu enligt läkare utom fara, skrofulöst, varit avrått vaccinering, det tvååriga dött, </w:t>
      </w:r>
      <w:r>
        <w:rPr>
          <w:b/>
        </w:rPr>
        <w:t>hushållerskan³</w:t>
      </w:r>
      <w:r>
        <w:rPr>
          <w:b w:val="0"/>
        </w:rPr>
        <w:t xml:space="preserve"> Rutström 35 år rätt sjuk, vaccinerad i barndomen. 16 personer isolerade dels i hemmen och dels å sjukhuset.&gt; När man får de upplysningarna, skulle jag vilja hemställa till dem, som tänka använda ett sådant vapen: hur skall det i all rimlighets namn kunna användas mot den ståndpunkt, iag har? Man kan fullgott med detta bevismateriel säga, att hade man haft Kungl. Maj:ts lag, hade den verkat varken för eller mot. Situationen hade varit likadan; det hade icke varit någon skillnad, om man haft den lagen eller icke; situationen hade i varje fall varit densamma.</w:t>
        <w:br/>
        <w:br/>
        <w:t>Jag vill vidare ställa den frågan: vad skall nu ske, ifall man fäller lagen, någonting, som jag är fullständigt beredd att göra, då man från utskottets sida icke velat taga den minsta hänsyn till de principiellt fullt berättigade och praktiskt realiserbara kraven på en samvetsklausul, sådan som den av mig och herr Bernhard FEriksson formulerade? Man kan icke säga, att man minskar skyddet, och ännu mindre kan man säga, att man upphäver skyddet och ställer Sverige fullständigt oskyddat, ett påstående som skymtade fram i argumentationen vid förra riksdagen. Vi hava iu dock vår gamla vaccinationslag. Vi ha klarat oss ett halvt sekel med den, och då torde vi kunna klara oss med den ganska länge. Man har, såsom även herr civilministern anförde, väsentligen skärpt kontrollen över tillämpningen; provinsialläkarna äro i full rörelse, och medicinal-</w:t>
        <w:br/>
        <w:br/>
        <w:t>styrelsen har rätt, möjlighet och| vilja att starta en verklig upp-</w:t>
        <w:br/>
        <w:br/>
        <w:t>lysningsrörelse för att driva sin vilja med litet mera humana och lämpliga medel igenom. Jag vill till sist säga det, att när man läste tidningarna da-</w:t>
        <w:br/>
        <w:br/>
        <w:t>ait vi, som fällde lagen, voro en samling förbrytare, ty vi hade handlat mot vårt samvete. Det är icke utan, att dagens tidningar varna i samma toner och säga, att vi skulle begå en förbrytelse nästan, som vi sannerligen skulle få ångra, om vi röstade mot lagen. Jag röstar ändock mot den, och jag vill, då man kommer med sådana påståenden, dock säga, att skulden faller fullt lika mycket på den andra sidan. Här har från vår sida bjudits en antaglig uppgörelse efter den av herr Bernhard Eriksson och mig formulerade linjen, men ingen har lyssnat till den tanken. Man har slagit dövörat till och sagt nej, och man har såsom utskottet satt saken på ett kort. Jag vill säga, att ansvaret måste delas, ifall lagen, såsom jag hoppas, faller i dag.</w:t>
        <w:br/>
        <w:br/>
        <w:t>Med sådana argument ber jag för min del, herr talman, att få yrka ett klart och bestämt avslag på lagen i fråga.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1324</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