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1347</w:t>
      </w:r>
    </w:p>
    <w:p>
      <w:r>
        <w:rPr>
          <w:b/>
        </w:rPr>
        <w:t xml:space="preserve">Datum: </w:t>
      </w:r>
      <w:r>
        <w:t>1917-04-25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Jakob Pettersson (Liberala riksdagspartiet, man)</w:t>
      </w:r>
    </w:p>
    <w:p>
      <w:r>
        <w:rPr>
          <w:b w:val="0"/>
        </w:rPr>
        <w:t>I Kungl. Maj:ts förslag förekommer här en 20 8, som utskottet uteslutit. I anledning därav skall jag be att få säga följande.</w:t>
        <w:br/>
        <w:br/>
        <w:t xml:space="preserve">När riksdagen för två år sedan antog lagen om äktenskaps ingående och upplösning, förekommo däri också bestämmelser avseende att tillerkänna övergiven trolovad samt frånskild </w:t>
      </w:r>
      <w:r>
        <w:rPr>
          <w:b/>
        </w:rPr>
        <w:t>maka³</w:t>
      </w:r>
      <w:r>
        <w:rPr>
          <w:b w:val="0"/>
        </w:rPr>
        <w:t xml:space="preserve"> rätt till skadestånd att å vissa tider utgå från den, som varit vållande till brytningen eller äktenskapets återgång eller upplösning. Nu har Kungl. Maj:t i överensstämmelse med vad lagberedningen enhälligt hemställt föreslagit, att den, som är berättigad till sådant periodiskt skadestånd, också skulle hava rätt till införsel 1 den</w:t>
        <w:br/>
        <w:br/>
        <w:t>betalningsskyldiges avlöning, pension eller livränta, under förutsättning att rätten till skadestånd grundar sig på domstols utslag eller skriftlig, bevittnad handling.</w:t>
        <w:br/>
        <w:br/>
        <w:t xml:space="preserve">Detta Kungl. Maj:ts förslag står i god överensstämmelse med den riksdagens skrivelse av år 1915, i vilken riksdagen gav tillkänna, att den antagit lagen om äktenskaps ingående och upplösning, och vari riksdagen hemställde om utredning, på vad sätt genom lagstiftningens försorg en förbättrad rättsställning måtte kunna i olika hänseenden beredas utom äktenskap födda barns </w:t>
      </w:r>
      <w:r>
        <w:rPr>
          <w:b/>
        </w:rPr>
        <w:t>mödrar²</w:t>
      </w:r>
      <w:r>
        <w:rPr>
          <w:b w:val="0"/>
        </w:rPr>
        <w:t xml:space="preserve">, särskilt i de fall, då hävdandet skett under trolovning eller äktenskapslöfte. Det är ej omöjligt, att riksdagen då hade i tankarna, att dessa </w:t>
      </w:r>
      <w:r>
        <w:rPr>
          <w:b/>
        </w:rPr>
        <w:t>mödrars²</w:t>
      </w:r>
      <w:r>
        <w:rPr>
          <w:b w:val="0"/>
        </w:rPr>
        <w:t xml:space="preserve"> anspråk kunde beredas bättre exekution än nu är fallet. Av de förhandlingar, som föregingo beslutet, framgick också, att man önskade, att samma förmåner, som tillerkändes de oäkta barnens </w:t>
      </w:r>
      <w:r>
        <w:rPr>
          <w:b/>
        </w:rPr>
        <w:t>mödrar²</w:t>
      </w:r>
      <w:r>
        <w:rPr>
          <w:b w:val="0"/>
        </w:rPr>
        <w:t xml:space="preserve">, också borde tillkomma gifta </w:t>
      </w:r>
      <w:r>
        <w:rPr>
          <w:b/>
        </w:rPr>
        <w:t>kvinnor¹</w:t>
      </w:r>
      <w:r>
        <w:rPr>
          <w:b w:val="0"/>
        </w:rPr>
        <w:t xml:space="preserve">, som övergivits. Nu har emellertid utskottet föreslagit, att denna paragraf om rätt till införsel skulle strykas. Utskottet har därvid åberopat en anmärkning av lagrådet, att en skadeståndsrätt av nu anfört slag icke bör vara förmånligare än rätten till skadestånd för brott. Jag tror emellertid, att det vore att i hög grad beklaga, om riksdagen i detta stycke skulle följa lagutskottet. Särskilt bör väl andra kammaren komma ihåg, att när den skrivelse, om vilken jag talade, beslöts, var kammaren mycket angelägen om att få densamma till stånd. Kammarens majoritet var då ganska tveksam, om den skulle gå med på att alldeles avskaffa de s. k. ofullkomnade äktenskapen, och när kammaren slutligen gjorde det, var det ett slags ersättning för dessa ofullkomnade äktenskap, man fick i denna skrivelse om att dessa </w:t>
      </w:r>
      <w:r>
        <w:rPr>
          <w:b/>
        </w:rPr>
        <w:t>kvinnor¹</w:t>
      </w:r>
      <w:r>
        <w:rPr>
          <w:b w:val="0"/>
        </w:rPr>
        <w:t xml:space="preserve"> borde på annat sätt beredas en bättre ställning.</w:t>
        <w:br/>
        <w:br/>
        <w:t>Jag yrkar därför, herr talman, att efter 19 8 införes en 20 8 i överensstämmelse med Kungl. Maj:ts förslag.</w:t>
      </w:r>
    </w:p>
    <w:p>
      <w:pPr>
        <w:pStyle w:val="Heading2"/>
      </w:pPr>
      <w:r>
        <w:t>2. Gustaf Albert Petersson (Lantmanna- och borgarepartiet inom andrakammaren, man)</w:t>
      </w:r>
    </w:p>
    <w:p>
      <w:r>
        <w:rPr>
          <w:b w:val="0"/>
        </w:rPr>
        <w:t xml:space="preserve">Herr talman! Som den föregående talaren upplyste, är utskottets ståndpunkt i föreliggande fråga bestämd av en anmärkning som gjorts av ett enhälligt lagråd. Det kan jag sätta som auktoritet mot den som föregaende talare åberopat, nämligen lagberedningen. Lagrådet säger, att det rättsanspråk, för vilket detta nya exekutionsprivilegium i 20 $ skulle ges, är av en väsentligen annan beskaffenhet än den rätt till underhållsbidrag, varom det i övrigt i denna lag är fråga. Och att sätta det skadestånd, som grundar sig på trolovnings brytande, äktenskaps återgång eller äktenskapsskillnad, framför andra fordringar och ge det samma rätt, som man velat tillförsäkra understöd åt minderåriga barn och särskilt ogifta </w:t>
      </w:r>
      <w:r>
        <w:rPr>
          <w:b/>
        </w:rPr>
        <w:t>mödrar²</w:t>
      </w:r>
      <w:r>
        <w:rPr>
          <w:b w:val="0"/>
        </w:rPr>
        <w:t xml:space="preserve">, därtill finnes, mina herrar, bra litet skäl. Det är så mycket mindre skäl därtill, som ett dylikt skadestånd, t. ex. ett visst årligt underhåll av mannen åt frånskild </w:t>
      </w:r>
      <w:r>
        <w:rPr>
          <w:b/>
        </w:rPr>
        <w:t>hustru²</w:t>
      </w:r>
      <w:r>
        <w:rPr>
          <w:b w:val="0"/>
        </w:rPr>
        <w:t>, rimligen icke bör gå ut med bättre</w:t>
        <w:br/>
        <w:br/>
        <w:t>rätt än exempelvis skadestånd för brott. Om en person slagit ihjäl en annan och därigenom den dödades minderåriga barn komma i nöd, betryck och elände, skall enligt gällande lag skadestånd utgå av dråparen eller hans förmögenhet för att tillgodose det nödvändiga för dessa minderåriga barn. Detta skadestånd måste väl vara minst lika behjärtansvärt som de utom äktenskapet födda barnens. Men det får ej samma goda rätt, medan däremot en från-</w:t>
        <w:br/>
        <w:br/>
        <w:t xml:space="preserve">skild </w:t>
      </w:r>
      <w:r>
        <w:rPr>
          <w:b/>
        </w:rPr>
        <w:t>hustrus²</w:t>
      </w:r>
      <w:r>
        <w:rPr>
          <w:b w:val="0"/>
        </w:rPr>
        <w:t xml:space="preserve"> tilldömda underhåll — kanske en fullt arbetsför </w:t>
      </w:r>
      <w:r>
        <w:rPr>
          <w:b/>
        </w:rPr>
        <w:t>hustrus²</w:t>
      </w:r>
      <w:r>
        <w:rPr>
          <w:b w:val="0"/>
        </w:rPr>
        <w:t>, som för övrigt möjligtvis befinner sig i relativt goda omständigheter — för vilket detta exekutionsprivilegium skulle med-</w:t>
        <w:br/>
        <w:br/>
        <w:t>givas. Jag tror ej, att sådant stämmer med det befogade anspråk man har på, att skadestånd för brott över huvud ej skall sättas tillbaka för andra förbindelser. Det behöves visserligen en omvärdering av förmånsrätterna emellan olika krav, men förrän den sker och annorlunda än i sammanhang med en mera allmän revision av de olika förmånsrätternas inbördes valör, bör man icke taga upp till bedömande, om och i vad mån särskilda privilegier böra tillerkännas de skadeståndsanspråk, om vilka det talas i 20 8. Att göra det i detta sammanhang, då det egentligen är fråga om utom äktenskapet födda barns rätt, därtill finnes intet skäl. Jag tror, att lagutskottet haft fullgoda skäl att utesluta denna S och</w:t>
        <w:br/>
        <w:br/>
        <w:t>hemställer om bifall till utskottets förslag härutinnan.</w:t>
      </w:r>
    </w:p>
    <w:p>
      <w:pPr>
        <w:pStyle w:val="Heading2"/>
      </w:pPr>
      <w:r>
        <w:t>3. Sven Persson (Socialdemokraterna, man)</w:t>
      </w:r>
    </w:p>
    <w:p>
      <w:r>
        <w:rPr>
          <w:b w:val="0"/>
        </w:rPr>
        <w:t xml:space="preserve">Herr talman! Denna förmånsfråga är en av dem, till vilka man måste ställa sig tveksam. När äktenskapslagen antogs, beslöts även en skrivelse, som skulle täcka bestämmelserna, så att skadeståndet verkligen gick ut. Men huruvida denna skrivelse kan tolkas så långt, som här är fråga om, därom kan man tvista. Möjligt är, att skrivelsens mening var sådan, som här sagts, men möjligt är också, att den blott omfattade underhåll, och, i vad gäller underhåll av alla slag, som det är fråga om, är redan genom den nu antagna lagen om införsel underhållet tryggat genom rätt till införsel. För allt underhåll får det göras införsel i lön, och det har sålunda en förmånsrätt framför allt annat. Och man förstår, att genom lagen om införsel är dess rätt tryggad. Det är ett nytt steg visserligen mot vad som förut gällt i svensk lagstiftning i allmänhet. Men under de sista 50 ären har rätt till införsel i lön ej varit medgiven. Införsel i lön är ett kraftigt ingrepp, men det är möjligt att det behöves så kraftig lagstiftning för att få de garantier för underhållsbidrags utbetalande i de olika fall, som stadgas i 1 8. Så är fråga om, att det skadestånd, som omnämnes i 20 $, att även det skulle få rätt till införsel. Det är sant, som man säger, att det finnes skadestånd i andra fall, som äro mvcket behjärtansvärda, utan att de ha rätt till införsel. Om man illa behandlar en </w:t>
      </w:r>
      <w:r>
        <w:rPr>
          <w:b/>
        </w:rPr>
        <w:t>kvinna¹</w:t>
      </w:r>
      <w:r>
        <w:rPr>
          <w:b w:val="0"/>
        </w:rPr>
        <w:t xml:space="preserve">, vilken som helst, som ej kommer under den kategori, som här är fråga om, och </w:t>
      </w:r>
      <w:r>
        <w:rPr>
          <w:b/>
        </w:rPr>
        <w:t>hon²</w:t>
      </w:r>
      <w:r>
        <w:rPr>
          <w:b w:val="0"/>
        </w:rPr>
        <w:t xml:space="preserve"> blir tillerkänd skadestånd, har </w:t>
      </w:r>
      <w:r>
        <w:rPr>
          <w:b/>
        </w:rPr>
        <w:t>hon²</w:t>
      </w:r>
      <w:r>
        <w:rPr>
          <w:b w:val="0"/>
        </w:rPr>
        <w:t xml:space="preserve"> ej rätt till införsel i lönen för utfående av detta skadestånd, utan </w:t>
      </w:r>
      <w:r>
        <w:rPr>
          <w:b/>
        </w:rPr>
        <w:t>hon²</w:t>
      </w:r>
      <w:r>
        <w:rPr>
          <w:b w:val="0"/>
        </w:rPr>
        <w:t xml:space="preserve"> får gå utmätningsvägen. Och det är riktigt, som utskottets ordförande sade,</w:t>
        <w:br/>
        <w:br/>
        <w:t xml:space="preserve">att, om man begått ett brott och därigenom blivit skadeståndsskyldig till en </w:t>
      </w:r>
      <w:r>
        <w:rPr>
          <w:b/>
        </w:rPr>
        <w:t>hustru²</w:t>
      </w:r>
      <w:r>
        <w:rPr>
          <w:b w:val="0"/>
        </w:rPr>
        <w:t xml:space="preserve"> med barn, så finnes ej denna möjlighet att taga ut det annat än på den vanliga vägen genom utmätning, det går icke för sig genom införsel i lönen, som verkar så oerhört mycket kraftigare. Man får även säga, att dessa skadestånd i vissa fall kunna drabba rätt kraftigt. Det stär, att, när någon ådömts skadestånd som följd av trolovnings brytande etc., så skola lagens bestämmelser om införsel gälla. Det gäller även </w:t>
      </w:r>
      <w:r>
        <w:rPr>
          <w:b/>
        </w:rPr>
        <w:t>kvinnan¹</w:t>
      </w:r>
      <w:r>
        <w:rPr>
          <w:b w:val="0"/>
        </w:rPr>
        <w:t xml:space="preserve">. Om en </w:t>
      </w:r>
      <w:r>
        <w:rPr>
          <w:b/>
        </w:rPr>
        <w:t>kvinna¹</w:t>
      </w:r>
      <w:r>
        <w:rPr>
          <w:b w:val="0"/>
        </w:rPr>
        <w:t xml:space="preserve"> exempelviseär orsak till trolovnings brytande och mannen i fråga till följd av denna lider ekonomisk skada, om han t. ex. skaffat sig ett möblemang för att bosätta sig och trolovningen brytes av </w:t>
      </w:r>
      <w:r>
        <w:rPr>
          <w:b/>
        </w:rPr>
        <w:t>kvinnan¹</w:t>
      </w:r>
      <w:r>
        <w:rPr>
          <w:b w:val="0"/>
        </w:rPr>
        <w:t xml:space="preserve">, då skall </w:t>
      </w:r>
      <w:r>
        <w:rPr>
          <w:b/>
        </w:rPr>
        <w:t>hon²</w:t>
      </w:r>
      <w:r>
        <w:rPr>
          <w:b w:val="0"/>
        </w:rPr>
        <w:t xml:space="preserve"> enligt lagen ådömas skadestånd till mannen. Om det då är en fattig </w:t>
      </w:r>
      <w:r>
        <w:rPr>
          <w:b/>
        </w:rPr>
        <w:t>kvinna¹</w:t>
      </w:r>
      <w:r>
        <w:rPr>
          <w:b w:val="0"/>
        </w:rPr>
        <w:t xml:space="preserve">, kan </w:t>
      </w:r>
      <w:r>
        <w:rPr>
          <w:b/>
        </w:rPr>
        <w:t>hon²</w:t>
      </w:r>
      <w:r>
        <w:rPr>
          <w:b w:val="0"/>
        </w:rPr>
        <w:t xml:space="preserve"> ej betala skadeständet, men då göres införsel i lönen, som uttages vecka efter vecka, till dess beloppet är gäldat. Det har sina sidor att gå in på principen om införsel för skadestånd. Därför har jag också liksom mina partikamrater i utskottet ej reserverat mig här utan gått med utskottet. Det var för övrigt ej så starkt tal om detta särskilt, när frågan behandlades, utan det har blivit det först efteråt. Nu erinras det starkt, att man är skyldig att i konsekvens med den skrivelse, som riksdagen antog för två år sedan, gå med på förslaget. Jag står fast vid den uppfattningen, att det är tvivelsamt. Man skall ej utsträcka införselinstitutet för långt, men jag skall dock ej se illa på, om paragrafen bifalles. Då lära väl även de svårigheter, som då uppstå, komma att undanröjas, men som konsekvens följer, att, skall det vara införsel i lönen för skadestånd i det ena fallet, så får man gå med på införsel för skadestånd även i andra fall. Frågan är, om man över huvud skall gå på den vägen.</w:t>
      </w:r>
    </w:p>
    <w:p>
      <w:pPr>
        <w:pStyle w:val="Heading2"/>
      </w:pPr>
      <w:r>
        <w:t>4. Jakob Pettersson (Liberala riksdagspartiet, man)</w:t>
      </w:r>
    </w:p>
    <w:p>
      <w:r>
        <w:rPr>
          <w:b w:val="0"/>
        </w:rPr>
        <w:t xml:space="preserve">Herr talman! Jag skall ge lagutskottets ordförande rätt i, att den skadeståndsrätt, om vilken talas i 20 $, är en annan rätt än den rätt, om vilken talas i lagtörslaget för övrigt. Det ena är en skadeståndsrätt och det andra en rätt till underhåll. Men jag vill mot honom göra gällande, att denna rätt till skadestånd, som skall förfalla på vissa olika tider, står på visst sätt, praktiskt taget, mycket nära rätten till underhåll, så att i själva verket torde den komma att till sin nytta ha ungefär samma värde som den. Däremot kan jag ej biträda ordförandens mening, då han säger, att lagen om införsel huvudsakligen talar om intörsel till förmån för barns rätt till underhåll. Den gäller också underhåll bl. a. åt föräldrar och </w:t>
      </w:r>
      <w:r>
        <w:rPr>
          <w:b/>
        </w:rPr>
        <w:t>hustru²</w:t>
      </w:r>
      <w:r>
        <w:rPr>
          <w:b w:val="0"/>
        </w:rPr>
        <w:t>.</w:t>
        <w:br/>
        <w:br/>
        <w:t xml:space="preserve">Den siste ärade talaren nämnde något om, att den här införselrätten är nog så »kraftig» och att den kan komma att drabba tungt. Men i det sammanhanget yttrade han något, som, om jag rätt fattade honom, gick ut på, att även trolovad </w:t>
      </w:r>
      <w:r>
        <w:rPr>
          <w:b/>
        </w:rPr>
        <w:t>kvinna¹</w:t>
      </w:r>
      <w:r>
        <w:rPr>
          <w:b w:val="0"/>
        </w:rPr>
        <w:t xml:space="preserve"> kunde bli ådömd skadeståndsskyldighet till följd av trolovnings brytande. Detta är såvitt jag förstår ett misstag. Ty i lagen om äktenskaps ingående står det visserligen, att om </w:t>
      </w:r>
      <w:r>
        <w:rPr>
          <w:b/>
        </w:rPr>
        <w:t>kvinna¹</w:t>
      </w:r>
      <w:r>
        <w:rPr>
          <w:b w:val="0"/>
        </w:rPr>
        <w:t xml:space="preserve"> under trolov-</w:t>
        <w:br/>
        <w:br/>
        <w:t xml:space="preserve">ningstiden blir rädd med barn av mannen och trolovningen lika väl brytes och mannen bär den huvudsakliga skulden därtill, så skall han giva </w:t>
      </w:r>
      <w:r>
        <w:rPr>
          <w:b/>
        </w:rPr>
        <w:t>henne²</w:t>
      </w:r>
      <w:r>
        <w:rPr>
          <w:b w:val="0"/>
        </w:rPr>
        <w:t xml:space="preserve"> skäligt skadestånd. Och detta skadestånd skall enligt det i dag antagna förslaget kunna utdömas att utgå periodiskt. Men så säges det: »Ar trolovad eljest huvudsakligen vållande till att trolovningen brytes, njute den andre ersättning allenast för förlust till följd av åtgärd, som han vidtagit för det tillämnade äktenskapet.» MNSåledes kan icke en trolovad </w:t>
      </w:r>
      <w:r>
        <w:rPr>
          <w:b/>
        </w:rPr>
        <w:t>kvinna¹</w:t>
      </w:r>
      <w:r>
        <w:rPr>
          <w:b w:val="0"/>
        </w:rPr>
        <w:t xml:space="preserve"> komma att ådömas periodiskt skadestånd till mannen, om trolovningen brytes.</w:t>
        <w:br/>
        <w:br/>
        <w:t>Då jag gör denna anmärkning, vill jag på samma gång giva mitt mycket stora erkännande åt den ingående sakkunskap, som den ärade talaren ådagalagt vid dessa lagfrågors behandling i dag.</w:t>
        <w:br/>
        <w:br/>
        <w:t xml:space="preserve">Vill nu kammaren verkligen stå vid det beslut, som fattades för två år sedan, att hjälpa dessa stackars </w:t>
      </w:r>
      <w:r>
        <w:rPr>
          <w:b/>
        </w:rPr>
        <w:t>kvinnor¹</w:t>
      </w:r>
      <w:r>
        <w:rPr>
          <w:b w:val="0"/>
        </w:rPr>
        <w:t>, så bör kammaren också gå med på Kungl. Maj:ts förslag och införa denna 20 8 i lagen.</w:t>
        <w:br/>
        <w:br/>
        <w:t xml:space="preserve">Men jag erinrar ännu en gång om konsekvenserna av att slå in på den vägen att för skadestånd bevilja införsel i lön, och jag undrar om kammarens ledamöter satt sig ordentligt in i den oerhörda kraft, som ligger i denna införsellag. Man går med på det, därför att det är en så behjärtansvärd sak, som samhället måste på ett eller annat sätt bidraga till att få verklig effektivitet bakom. Men frågan är, huru långt man skall driva det, om man skall driva det så långt, att </w:t>
      </w:r>
      <w:r>
        <w:rPr>
          <w:b/>
        </w:rPr>
        <w:t>hustru²</w:t>
      </w:r>
      <w:r>
        <w:rPr>
          <w:b w:val="0"/>
        </w:rPr>
        <w:t xml:space="preserve"> och barn till den man, som dömes till införsel, komma i ett prekärt läge — låt vara att icke införseln får tagas så starkt, att nöd kan uppstå, men nära nog.</w:t>
        <w:br/>
        <w:br/>
        <w:t>Man kan vara tveksam om principen, men för all del, anser kammaren att det är bra, så å la bonheur.</w:t>
      </w:r>
    </w:p>
    <w:p>
      <w:pPr>
        <w:pStyle w:val="Heading2"/>
      </w:pPr>
      <w:r>
        <w:t>5. Sven Persson (Socialdemokraterna, man)</w:t>
      </w:r>
    </w:p>
    <w:p>
      <w:r>
        <w:rPr>
          <w:b w:val="0"/>
        </w:rPr>
        <w:t>Om det här förevarande lagförslaget genom sammanjämkning blir lag, så är det alldeles självfallet, att, i vilken riktning sammanjämkningen än kommer att gå, vissa förbättringar komma att bli genomförda. Men lagen kommer icke att garantera underhåll åt alla barn, därför att i vissa fall blir det alldeles omöjligt på grund av olika orsaker att få fast på den underhållsskyldige, och i vissa fall blir det kanhända så, att man icke kan få ut någonting av den underhållsskyldige, därför att han befinner sig i den ställningen, att det icke finnes någon lön att göra införsel uti. Och det kan även vara andra anledningar. I vissa fall torde det vara så, att trots förbudet mot emigration för underhållsskyldig, kommer detta förbud att kringgås, och det blir icke möjligt att få reda på den underhållsskyldige. Och i andra fall kan man icke få fast på den underhållsskyldige i så god tid, att redan från början vid barnets födelse, då underhåll så väl behöves, man kan få någon dom fälld eller någon uppgörelse träffad om underhåll, utan det kommer att dröja en tid, innan allt det där blir klart. Under tiden befinner sig modern och barnet i den ställningen, att de icke ha något ekonomiskt stöd att lita sig till, såsom det varit i de många beklagliga fall, som äro konstaterade under denna debatt och för övrigt äro konstaterade i det allmänna livet av envar, som känner till dessa förhållanden.</w:t>
        <w:br/>
        <w:br/>
        <w:t xml:space="preserve">På grund därav är det alldeles nödvändigt, att samhället träder emellan här, för att barnets och </w:t>
      </w:r>
      <w:r>
        <w:rPr>
          <w:b/>
        </w:rPr>
        <w:t>moderns²</w:t>
      </w:r>
      <w:r>
        <w:rPr>
          <w:b w:val="0"/>
        </w:rPr>
        <w:t xml:space="preserve"> rätt skall bli tillgodosedd på det sätt, som lagen syftar till, att den skall bli. Och</w:t>
        <w:br/>
        <w:br/>
        <w:t>det kan icke ske på annat sätt, än att samhället utlämnar förskott Any: (ay om</w:t>
        <w:br/>
        <w:br/>
        <w:t>harn utom</w:t>
        <w:br/>
        <w:br/>
        <w:t>till den, som skall ha underhållet, och lämnar detta underhåll, äktenskap tills dess att samhället har möjlighet att taga ut det av den unm.m. derhållsskyldige, han må sedan vara i vilken ställning som helst. = (rorts.)</w:t>
        <w:br/>
        <w:br/>
        <w:t>I de fall då icke möjlighet finnes att taga ut dessa förskott någon gång, får väl samhället stå den risken.</w:t>
        <w:br/>
        <w:br/>
        <w:t>Inom utskottet var man också rätt så enig om att detta var behövligt. Utskottet säger, att vad som frambållits är behjärtansvärt. Men då man kommer till, huru detta som är så behjärtansvärt skall realiseras, så dela meningarna sig. Min uppfattning är för det första, att det bör realiseras så snabbt som möjligt, och för det andra, att detta förskott bör utbetalas utan fattigvårds karaktär. Ty jag tycker, att man skall i alla fall, då det är möjligt, förmå samhället till att göra sin plikt, utan att man skall lägga den nedsättande och neddragande fattigvårdskaraktären på denna</w:t>
        <w:br/>
        <w:br/>
        <w:t>liktuppfyllelse. Det är ju också orimligt, att när samhället ut-</w:t>
        <w:br/>
        <w:br/>
        <w:t>betalar dessa förskott med visst belopp i månaden och förskotten sedan komma tillbaka, så verkar fattigvårdskaraktären under den tid då de utgå, men hur det sedan skall ordnas, när samhället får tillbaka förskotten, har man icke klart för sig. Man vet icke, huruvida den klick, som fattigvårdskaraktären innebär, med ty åtföljande förlust av medborgerlig rätt, då skall bortfalla eller icke.</w:t>
        <w:br/>
        <w:br/>
        <w:t xml:space="preserve">Det är därför, herr talman, som jag tillåtit mig föreslå, att riksdagen måtte besluta »att i skrivelse till Kungl. Maj:t anhålla, det täcktes Kungl. Maj:t låta utreda och för nästa riksdag förelägga förslag om förskott, utan fattigvårds karaktär, från det allmänna för underhåll åt utom äktenskapet födda barn samt inom äktenskapet födda barn där föräldrarna leva skilda eller </w:t>
      </w:r>
      <w:r>
        <w:rPr>
          <w:b/>
        </w:rPr>
        <w:t>hustrun²</w:t>
      </w:r>
      <w:r>
        <w:rPr>
          <w:b w:val="0"/>
        </w:rPr>
        <w:t xml:space="preserve"> övergivits». Således är det utsträckt här icke blott till utom äktenskapet födda barn utan även till inom äktenskapet födda barn, då föräldrarna sedan skilts eller </w:t>
      </w:r>
      <w:r>
        <w:rPr>
          <w:b/>
        </w:rPr>
        <w:t>hustrun²</w:t>
      </w:r>
      <w:r>
        <w:rPr>
          <w:b w:val="0"/>
        </w:rPr>
        <w:t xml:space="preserve"> övergivits av mannen. Egentligen skulle jag vilja gå därhän, att jag skulle vilja föreslå utredning till nästa år om understöd i alla de fall, där barn icke ha stöd på annat sätt, genom att samhället skulle träda till för att skydda och hålla uppe det dyrbaraste som samhället har att vårda, barnen, de blivande medborgarna, på vilka hela samhällets framtid skall byggas. Men denna fråga är av mycket vidsträckt natur, och det är icke möjligt att få den utredd så fort som erforderligt är. Och dessutom om man skall se saken i hela dess vidd, måste man bort från förskottsprincipen, ty att lämna förskott åt faderoch moderlösa barn eller lämna förskott åt barn, vilkas föräldrar av sjukdom eller arbetslöshet förhindrats försörja dem, går icke, ty det är omöjligt att få tillbaka dessa förskott, utan det måste bli direkt underhåll. Vi ha icke vågat oss på att gå fram med ett förslag om barnunderhåll i hela dess vidd, utan vi ha stannat vid det mest angelägna, det mest trängande, som är möjligt att erhålla i en nära framtid, nämligen förskott åt dessa barn och att dessa förskott icke skola erhålla fattigvårds karaktär.</w:t>
        <w:br/>
        <w:br/>
        <w:t>Herr Pettersson i Södertälje har också reserverat sig och med honom herr Karlsson i Fjäl i denna kammare. De äro även med om en skrivelse, men de vilja icke taga steget fullt ut så långt som vi vilja. De vilja icke, att riksdagen skall säga ifrån, att förskotten icke skola vara av fattigvårds karaktär, utan de tro, att det kan ordnas även om det sker genom fattigvården så att understödet får fattigvårds karaktär. Jag tycker, att dessa herrar borde gått så långt som vi gått, då det är fråga om att riksdagen skall uttala sin vilja i detta fall. Utskottet har icke velat gå med på någon skrivelse, ty det anser, att det kommer att klara sig i alla fall, men vi veta ju, hur det är, att medan gräset gror dör kon, som det heter. Det är många som gå under under tiden. Vi erinra oss, att det var femtio procent större barnadödlighet bland de utomäktenskapliga än de inomäktenskapliga barnen. Här är snabb hjälp trängande för att bevara så många som möjligt vid hälsa, liv och utvecklingsmöjligheter. Nog hjälper det, när riksdagen ger uttryck åt sin vilja genom en skrivelse.</w:t>
        <w:br/>
        <w:br/>
        <w:t>Herr talman, jag ber att få yrka bifall till den av mig jämte herrar Lindley i Söderhamn och Lindqvist i Kosta avgivna,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1347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