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277</w:t>
      </w:r>
    </w:p>
    <w:p>
      <w:r>
        <w:rPr>
          <w:b/>
        </w:rPr>
        <w:t xml:space="preserve">Datum: </w:t>
      </w:r>
      <w:r>
        <w:t>1917-04-29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Charles Lindley (Socialdemokraterna, man)</w:t>
      </w:r>
    </w:p>
    <w:p>
      <w:r>
        <w:rPr>
          <w:b w:val="0"/>
        </w:rPr>
        <w:t>Herr talman, mina herrar! Jag tillhör icke dem, som onödigtvis taga till ordet i denna kammare, men' det gives tillfällen, då man blir nödsakad att tala. Jag uppkallades av herr Tryggers yttrande, däri han betecknade dem, mot vilka polischockerna riktades, såsom varande ligister. Dessutom begärde han upplysning av herr Ström, huru oordningar skulle</w:t>
        <w:br/>
        <w:br/>
        <w:t>kunna stävjas, om man icke finge använda vare sig polis eller militär.</w:t>
        <w:br/>
        <w:br/>
        <w:t xml:space="preserve">Vad den första saken angår vill jag kraftigt tillbakavisa beteckningen ligister för de demonstranter, mot vilka den första chocken riktades. Om de senare kan jag icke uttala mig, ty jag har icke fått några bestämda vittnesmål och kan icke uttala mig om av vilka element folksamlingen då bestod. Men om dem mot vilka den första chocken riktades kan jag yttra mig, ty bland dem, som då befunno sig bland de första leden, var min </w:t>
      </w:r>
      <w:r>
        <w:rPr>
          <w:b/>
        </w:rPr>
        <w:t>hustru²</w:t>
      </w:r>
      <w:r>
        <w:rPr>
          <w:b w:val="0"/>
        </w:rPr>
        <w:t xml:space="preserve">, och jag får säga, att jag har mycket stor aktning för </w:t>
      </w:r>
      <w:r>
        <w:rPr>
          <w:b/>
        </w:rPr>
        <w:t>hennes²</w:t>
      </w:r>
      <w:r>
        <w:rPr>
          <w:b w:val="0"/>
        </w:rPr>
        <w:t xml:space="preserve"> vederhäftighet, klokhet och iakttagelseförmåga i sådana ting. </w:t>
      </w:r>
      <w:r>
        <w:rPr>
          <w:b/>
        </w:rPr>
        <w:t>Hon²</w:t>
      </w:r>
      <w:r>
        <w:rPr>
          <w:b w:val="0"/>
        </w:rPr>
        <w:t xml:space="preserve"> har för mig förklarat, att det i denna folksamling icke fanns några ligister, kanske med något enstaka undantag. </w:t>
      </w:r>
      <w:r>
        <w:rPr>
          <w:b/>
        </w:rPr>
        <w:t>Hon²</w:t>
      </w:r>
      <w:r>
        <w:rPr>
          <w:b w:val="0"/>
        </w:rPr>
        <w:t xml:space="preserve"> kunde givetvis icke gå i borgen för vad enskilda individer kunna gå för 1 det privata livet, men det var åtminstone icke några ligister, som där uppträdde. Det var äldre arbetare tillsammans med arbetareungdom. Nu är det ju alltid så, där arbetareungdom, och man kan säga nästan vilken ungdom som helst är tillfinnandes, att den är mer eller mindre nojsig. Aven här nojsade och raljerade de yngre elementen med poliskedjan samt gjorde en del hyss. Min </w:t>
      </w:r>
      <w:r>
        <w:rPr>
          <w:b/>
        </w:rPr>
        <w:t>hustru²</w:t>
      </w:r>
      <w:r>
        <w:rPr>
          <w:b w:val="0"/>
        </w:rPr>
        <w:t xml:space="preserve"> talade om att det enda </w:t>
      </w:r>
      <w:r>
        <w:rPr>
          <w:b/>
        </w:rPr>
        <w:t>hon²</w:t>
      </w:r>
      <w:r>
        <w:rPr>
          <w:b w:val="0"/>
        </w:rPr>
        <w:t xml:space="preserve"> kunde finna som gjordes vilket kunde betecknas som störande av ordningen, var, att de gjorde en del fuffens med kontakten på spårvagnen, vilken drogs ned med resultat att spårvagnen åkte tillbaka. Det upprepades två, tre gånger. De tycktes ha obeskrivligt roligt åt detta lilla harmlösa hyss. Det var allt de gjorde, som kunde betraktas som ofog. Jag undrar om kammarledamöternas egna barn skulle vara bättre i en folksamling, eller om icke de också skulle göra sådana hyss, om tillfälle yppade sig. Och om man vill betrakta och rubricera detta såsom tecken till, att de uppträdande voro ligister, har man tagit fel. Alltså förefanns här icke något sådant element, mot vilket en polischock bort riktas. Men däxemot talade </w:t>
      </w:r>
      <w:r>
        <w:rPr>
          <w:b/>
        </w:rPr>
        <w:t>hustru²</w:t>
      </w:r>
      <w:r>
        <w:rPr>
          <w:b w:val="0"/>
        </w:rPr>
        <w:t xml:space="preserve"> min om, att det uppträdde en borgerlig provokatör, som sökte åstadkomma sammanstötning. </w:t>
      </w:r>
      <w:r>
        <w:rPr>
          <w:b/>
        </w:rPr>
        <w:t>Hon²</w:t>
      </w:r>
      <w:r>
        <w:rPr>
          <w:b w:val="0"/>
        </w:rPr>
        <w:t xml:space="preserve"> vände sig direkt till polisen, som han försökte påverka till utmanande handlingar och bad, att polisen skulle mota bort denna människa, därför att han syftade åt att åstadkomma kravall, men arbetarna motade sedermera själva bort honom, när de fingo veta, vad han gick för.</w:t>
        <w:br/>
        <w:br/>
        <w:t>Vad var då anledningen till polischocken? Här finnas i denna kammare och jämväl i andra kammaren flera, som om de ville vara ärliga, skulle svara: anledningen var icke någon annan än den, att herr Branting tillsammans med några andra kom gående över Norrbro i avsikt att meddela den arbetaremassa, som stod på andra sidan, resultatet av det svar som statsministern givit. De kunde icke komma hit, och därför gick herr Branting i avsikt att meddela dem detta resultat. Och givet är, att de, när de fingo se herr Branting komma, började tränga framåt och sökte komma närmare honom för att höra svaret, och detta gav då polisen anledning att göra en våldsam chock. Man använde sablarne för att</w:t>
        <w:br/>
        <w:br/>
        <w:t>hugga in på massan, som icke bestod av ligister, utan av hyggliga ordentliga arbetare. Det är denna händelse som framkallat en stark stämning i arbetarekretsar. Man måste fråga sig: vad är i realiteten skillnaden mellan det, som timade i går, och det, som timade i Petrograd för en del år sedan utanför vinterpalatset? I realiteten gällde det samma sak: krav på utsträckning av de medborgerliga rättigheterna och medinflytande på statens allmänna angelägenheter. När folket väntade på svar, blev det anfallet av polisen med dragna sablar. Visserligen flöt här icke blod i samma utsträckning som i Petrograd, men blod flöt dock, och det var svenskt blod, som flöt på Gustaf Adolfs torg endast på grund av att polisen gjorde denna chock. Det är givet, att denna händelse i högsta grad upprört Sveriges arbetare, och de kräva absolut att detta icke får upprepas. Stora skaror i vårt land kräva nu, att man skall vidtaga extra ordinära kraftåtgärder för att visa, att hela den svenska arbetareklassen står samlad bakom denna förtrytna opinion, för att giva eftertryck åt den förbittring, som råder inom arbetareklassen i vårt land. Detta om den saken. Det hör ju strängt taget icke till den fråga som här behandlas, men då herr Trygger vidrört detta ärende, har jag velat lämna dessa uppgifter. Och då herr Ström påståtts icke hava riktigt klargjort sin ståndpunkt till frågan oroligheters stillande ber jag att få träda i hans ställe.</w:t>
        <w:br/>
        <w:br/>
        <w:t>Herr Trygger frågade, vad man skulle göra för att hindra inre oroligheter, om man icke finge använda vare sig polis eller militär. Först och främst vill jag då betona, vad vårt parti beträffar, att det icke alls vill åstadkomma några inre oroligheter. Vi ha aldrig haft någon nytta av inre oroligheter, utan tvärt om skada, och säkerligen finns det icke någon om sitt ansvar fullt medveten arbetsledare, som vill framkalla inre oroligheter. Men skulle inre oroligheter uppstå av någon anledning, ha vi ingenting emot att det finnes en ordningsmakt, som kan skydda fredliga medborgare och hålla oroselementen i vederbörligt schack. Men då vi här gå med på att det skall finnas en ordningsmakt, vilja vi dock draga en gräns för vad denna har att uträtta genom att säga, att den ordningsmakt vi önska skall vara en demokratisk ordningsmakt. Vi vilja icke ha en ordningsmakt som den närvarande. Den skall vara en folkets ordningsmakt, och polisen skall icke vara ett visst partis tjänare. Huru kan det då komma sig — har icke någon av herrarna tänkt på det? — att ordningsmakten i England står i en sådan ställning till folket i jämförelse med vår egen ordningsmakt, att folket hjälper ordningsmakten att upprätthålla ordningen? Det är därför, att ordningsmakten där står under demokratisk kontroll. Detta återför i mitt minne, vad en engelsk representant sade till mig år 1902. Vi hade då här en internationell kongress. Vi hade varit på söder och gingo tillbaka Västerlånggatan fram sent på kvällen, och med det för engelsmännen egna sättet att gå och smågnola, om de hört någon ny ton, gingo engelsmännen i mitt sällskap, en parlaments-</w:t>
        <w:br/>
        <w:br/>
        <w:t>ledamot, en fredsdomare och några andra, och smågnolade. Emel- Anslag till lertid kom en polis fram, ryckte tag i dem och började ställa till Hand ersvapeta ett uppträde, emedan engelsmännen icke iakttagit den tystnad, (Forts) som polisen ansåg, att de bort ha gjort. Engelsmännen blevo | formligen trakasserade av polisen. Den engelske fredsdomaren sade</w:t>
        <w:br/>
        <w:br/>
        <w:t>då till mig: »Hör du, Lindley, som du vet, är jag icke socialist,</w:t>
        <w:br/>
        <w:br/>
        <w:t>men om jag bodde här tre månader, skulle jag vara det. Eder</w:t>
        <w:br/>
        <w:br/>
        <w:t>polis skulle tvinga mig att bliva det, därest jag icke på annat</w:t>
        <w:br/>
        <w:br/>
        <w:t>sätt blivit övertygad om socialismens nödvändighet.» Efter blott</w:t>
        <w:br/>
        <w:br/>
        <w:t>denna ytliga bekantskap med vår polis var han övertygad om,</w:t>
        <w:br/>
        <w:br/>
        <w:t>att polisen uppträdde på sådant sätt, att den framkallade opposi-</w:t>
        <w:br/>
        <w:br/>
        <w:t>tion. Det var förresten samma år, 1902, som folkmassan å Gustaf</w:t>
        <w:br/>
        <w:br/>
        <w:t>Adolfs torg, på andra sidan, mottogs av herr Stendahl och hans</w:t>
        <w:br/>
        <w:br/>
        <w:t>bekanta påk. I samband härmed vill jag tala om, att när engels-</w:t>
        <w:br/>
        <w:br/>
        <w:t>männen senare besökte Drottningholm och fingo syn på fontänmonumentet, som föreställer en jätte, som slåss med en drake, utropade de: »Aha, Stendahb. De ville här skämtsamt låtsa som</w:t>
        <w:br/>
        <w:br/>
        <w:t>om vi svenskar där satt upp ett monument av Stendahl såsom bekräftelse på huru högt vi skattade vår polisregim.</w:t>
      </w:r>
    </w:p>
    <w:p>
      <w:pPr>
        <w:pStyle w:val="Heading2"/>
      </w:pPr>
      <w:r>
        <w:t>2. Hugo Hamilton (Första kammarens nationella parti, man)</w:t>
      </w:r>
    </w:p>
    <w:p>
      <w:r>
        <w:rPr>
          <w:b w:val="0"/>
        </w:rPr>
        <w:t>Jag får uppmana den ärade talaren att hålla sig till det ämne, som här föreligger.</w:t>
        <w:br/>
        <w:br/>
        <w:t>Herr Lindley: Ja, jag skall göra det. Jag vill bara som ett slututtryck säga, att jag tror, att, om vi här kunde avskaffa pickelhuvorna, svärden och guldgalonerna från vår polismakt och skaffa demokratiskt befäl, så skulle även vår polis kunna vinna allmänhetens förtroende.</w:t>
        <w:br/>
        <w:br/>
        <w:t>Om vi nu skulle återvända till den andra frågan, militärens användande — och jag tror åtminstone, att jag där är inne på det ämne, som här avhandlas — vill jag säga, att skälet, varför vi verkligen ställt oss på den ståndpunkten att yrka avslag å militäranslagen, utgöra den kraftigaste protest mot myndigheternas delaktighet i ansvaret för anfallet på folkmassan, men dessutom har jag den uppfattningen, att militär aldrig bör användas för stillande av inre oroligheter, som man kallar det. Det är en samhällsfara för alla och icke minst för det bestående samhället. Det bevisas nog därav, att man på sistone blivit så förskräckta för denna militär, att man icke vågar släppa ut den utan åtskillnad, utan måste plocka ut den militär, som man tror skall vara de lydigaste redskapen. Militären bör aldrig utnyttjas vid tvister, strejker och demonstrationer. Detta måste helt och hållet överlämnas åt ordningsmakten. Militärens användande vid sådana tillfällen är också, det må jag säga, den största anledningen till den nu rådande försvarsovilligheten. Ingenting har åstadkommit försvarsovilja till den grad som just de fall, då militär använts i ordningsmaktens tjänst vid konflikter, demonstrationer eller dylikt. Högern talar alltid om, att den sätter fosterlandets intressen i</w:t>
        <w:br/>
        <w:br/>
        <w:t>första rummet, men detta är icke sanningsenligt. Ty om den gjorde det, skulle den göra allt vad göras kan för att förhindra militärens användande vid demonstrationer och arbetskonflikter. Men saken är den, att man förväxlar samhällets intresse med vissa klassers intressen, när militären användes även till dylika ändamål. Stämningen är nu sådan, och jag skall icke sticka under stol med, att vi, som icke vilja gå på ett fullständigt avslagsyrkande beträffande dessa militära anslag, hava ytterst svårt att inför Sveriges arbetareklass försvara, att vi fortfarande hava ett uns villighet att bevilja anslag till det militära försvaret. Jag tänker nämligen, att det kommer att bliva mycket svårt för oss under de stundande närmaste månaderna, under valtiden, att försvara det minsta uns av försvarsvillighet inför de händelser, som nyss timat. Det är icke tu tal om att det kommer att bliva mycket påfrestande för vårt vidkommande. Och kunna vi icke få rättelse, kunna vi icke få de verkligen skyldiga ställda till ansvar för de tillställningar, som timade i går, kommer säkerligen den blivande kammaren eller den blivande representationen att visa en mycket starkare böjelse att vägra militära anslag än den hittillsvarande gjort.</w:t>
        <w:br/>
        <w:br/>
        <w:t>Jag kan emellertid, som saken nu ligger, icke framställa något yrkande i denna kammare, och därför ber jag, herr talman, att få sluta mitt anförande utan att göra något yrkande.</w:t>
      </w:r>
    </w:p>
    <w:p>
      <w:pPr>
        <w:pStyle w:val="Heading2"/>
      </w:pPr>
      <w:r>
        <w:t>3. Fredrik Ström (Socialdemokraterna, man)</w:t>
      </w:r>
    </w:p>
    <w:p>
      <w:r>
        <w:rPr>
          <w:b w:val="0"/>
        </w:rPr>
        <w:t>Herr talman! Jag vill börja med att anhålla, att herr talmannen måtte ha en liten smula överseende även med mig, om jag i någon mån skulle komma att icke direkt hålla mig till det ämne, varom här är fråga, eftersom vi nu på grund av omständigheternas makt kommit till ett replikskifte rörande en del saker, som endast sekundärt beröra föreliggande fråga. Då jag har den uppfattningen, att herr talmannen varit mycket tolerant, hoppas jag, att även jag nu skall ytterligare få säga några ord.</w:t>
        <w:br/>
        <w:br/>
        <w:t>Jag skall då först med avseende å de 3 miljoner det här närmast gäller be att få säga, att detta dock är någonting, som är ett avsevärt plus utöver de anslag, som förut beviljats, både de ordinarie, som gå upp till en ofantlig summa, och de extra ordinarie för neutralitetskostnaderna å 63 eller 65 miljoner kronor. Detta är något extra därtill, och jag kan icke förstå, att man klagar över, att utskottet varit så förskräckligt njuggt, när det på rak arm tillstyrkt 8 miljoner kronor. Detta är inga småsmulor och enligt mitt förmenande är det 8 miljoner för mycket.</w:t>
        <w:br/>
        <w:br/>
        <w:t>Det var emellertid också till herr Trygger jag skulle vilja säga något med anledning av det replikskifte, som varit. Med den inre fienden menar jag »den inre fienden», inom citationstecken och citerat icke ur socialdemokratiska tidningar, utan ur högertidningar, som vid mångfaldiga tillfällen använt denna beteckning för arbetareklassen i dess helhet. Jag erinrar herrarna om, att när år 1909 så gott som hela militärmakten mobiliserades och förlades utöver hela landet, det icke var mot ligister, utan mot hela den svenska i en ekonomisk kamp mot arbetsgivarne befintliga arbetar-</w:t>
        <w:br/>
        <w:br/>
        <w:t>klassen som man använde denna militärmakt. Och 1914 veta vi,</w:t>
        <w:br/>
        <w:br/>
        <w:t>att högertidningarna karakteriserade hela vänstern, till och med ia</w:t>
        <w:br/>
        <w:br/>
        <w:t>mycket beskedliga liberaler, såsom inre fiender, och Karl Staaff, den liberale statsministern, som sannerligen icke var någon samhällsomstörtare, fick det mindre sköna epitetet av chef för den inre fienden. Därför tror jag, att man på högerhåll med den inre fienden i allmänhet menar något annat än herr Trygger ville säga med ordet ligapojkar.</w:t>
        <w:br/>
        <w:br/>
        <w:t>Herr Trygger sade, såvitt jag förstod honom rätt, att om det varit 30,000 demonstranter, som anfallit polisen, så hade de nog segrat. Misstag! Det var polisen som anföll med vapen värnlösa arbetare. Han ville vidare göra gällande, att även om en del arbetare voro med i folkmassan, det nog icke var arbetare som gjorde denna chock mot polisen. Det är just fullständigt att kasta om förhållandena. Jag har icke hört, att det gjordes någon chock mot polisen, utan det var polisen, som gjorde chock mot demonstranterna. Att det icke kom till några oroligheter den 1 maj berodde på att polisen då höll sig undan, och då gick det mycket bra. Nu kom det till sammanstötningar på grund av polisens okloka uppträdande.</w:t>
        <w:br/>
        <w:br/>
        <w:t xml:space="preserve">Jag tyckte mig ändå finna ett erkännande hos herr Trygger, att han icke helt och hållet tog polisen i försvar, när han yttrade: vi motsätta oss icke, att det skall vara en förnuftig polisledning. Såvitt i detta yttrande ligger en reservation mot polisledningen beträffande de uppträden, som i går förekommo i Stockholm, tror jag, att detta erkännande är värt att taga fasta på. Såsom herr Branting skildrat det i andra kammaren, var det ju på ett hår när, att även han blivit kullriden av polisens hästar, som kommenderades fram, och jag vet icke, om man kan anse herr Branting vara någon ligapojke. Det var en ren händelse, att han icke fick ligga på torget bland de andra. Bland dem, som sårades och som man från riksdagshusets altan kunde se bäras bort av kamrater eller ledas att förbindas in i riksdagshuset, voro även </w:t>
      </w:r>
      <w:r>
        <w:rPr>
          <w:b/>
        </w:rPr>
        <w:t>kvinnor¹</w:t>
      </w:r>
      <w:r>
        <w:rPr>
          <w:b w:val="0"/>
        </w:rPr>
        <w:t xml:space="preserve"> på 50 å 60 år och gråskäggiga män, som trampats ned, och Re vet icke om man kan kalla dem för ligapojkar.</w:t>
        <w:br/>
        <w:br/>
        <w:t>Nej, vad det här gäller tror jag är frågan om församlingsrätten och demonstrationsfriheten. Vill man vara tolerant på detta område, behöver man icke befara oordningar, men försöker man kringskära denna gamla svenska rättighet, uppstå med naturnödvändighet svåra förhållanden. Jag skall tillåta mig ett tankeexperiment. Antag att vi fått en demokratisk regim här i landet som avskaffat högerväldet och första kammaren. Antag vidare att herr Trygger och många med honom tycka, att det var bättre, då första kammaren ännu fanns, och han och hans anhängare vilja därför opinera och demonstrera därför så, som skedde under bondetåget 1914. Om då den regerande demokratien skulle i herr Tryggers och hans demonstranters väg ställa sablar och bajonetter, undrar jag om icke högern skulle finna detta vara ett orättrådigt och ett bra oklokt beteende, som icke stämde överens med våra rättsoch</w:t>
        <w:br/>
        <w:br/>
        <w:t>frihetsgrundsatser, grundsatser som jag vid många tillfällen också hört, att herr Trygger här velat kraftigt hävda — för sig och de sina.</w:t>
        <w:br/>
        <w:br/>
        <w:t>Jag kan sammanfatta vad jag här sagt i ett enda ord: vill man att ordningen skall bliva så att säga en grundpelare i samhällslivet, giv då folket rättvisa!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