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1356</w:t>
      </w:r>
    </w:p>
    <w:p>
      <w:r>
        <w:rPr>
          <w:b/>
        </w:rPr>
        <w:t xml:space="preserve">Datum: </w:t>
      </w:r>
      <w:r>
        <w:t>1917-05-19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Sterne (Socialdemokraterna, man)</w:t>
      </w:r>
    </w:p>
    <w:p>
      <w:r>
        <w:rPr>
          <w:b w:val="0"/>
        </w:rPr>
        <w:t>Herr talman! Jag har, såsom kammaren behagade finna, vid detta utlåtande avgivit en reservation mot viss del av motiveringen, och jag skall nu tillåta mig att med några ord tillkännagiva, varför jag det giort.</w:t>
        <w:br/>
        <w:br/>
        <w:t>Som bekant har kungörelseläsningen i kyrkorna allt mer blivit en metod för offentliggörande av kommunala korporationers beslut och andra kungörelser som överlevat sig själva: uppfattningen ute bland allmänheten liksom väl även här i riksdagen har under årens lopp allt mer och mer gått i den riktningen, att kungörelseläsningen i kyrkorna undan för undan kunde begränsas och till sist alldeles upphöra. Jag tror, att den tankegången är fullständigt riktig och en sådan, som man borde göra allt för att befordra. I vår tid har ju denna kungörelseläsning förlorat den betydelse, som den tilläventyrs hade förr i tiden. I vår tid med dess stora och spridda tidningspress, som är angelägen att offentliggöra alla officiella beslut, föreligger icke behovet att genom kyrkorna komma i kontakt med allmänheten.</w:t>
        <w:br/>
        <w:br/>
        <w:t>I det föreliggande förslaget går man fram i denna riktning, men jag måste säga mig, att förslaget, särskilt Kungl. Mai:ts, är en halvmesyr, som utskottet i sin ordning något förbättrat. Kungl. Maj:t föreslår ju nämligen i huvudsak, att i stället för uppläsande av stämmoprotokollen skulle man tillgripa den åtgärden, att genom uppläsning i kyrkorna offentliggöra en förteckning iver de vid stämman fattade besluten. Utskottet har ju alldeles riktigt funnit, att det näppeligen är av behovet påkallat. att en dylik förteckning uppläses, men utskottet har icke velat taga det steg, som jag ansett vara konsekvent härvidlag, nämligen att helt enkelt förklara denna kungörelseläsning obehövlig och i stället söka finna en annan ordning i fråga om besvärstid och sådant, som sammanhänger med denna uppläsning, vilket skulle ha giort förslaget något mera</w:t>
        <w:br/>
        <w:br/>
        <w:t>genomgripande. Utskottet har i sitt förslag stannat vid ett tillkännagivande om protokollsjusteringen 1 kyrkorna.</w:t>
        <w:br/>
        <w:br/>
        <w:t>I samband med detta förslag har herr Zander i denna kammare vickt en motion, som går ut på ett borttagande av allt kungörelseläsande på detta område. Mot denna motion har utskottet vänt sig i några uttryck på sid. 22, som jag för min del inte har velat vara med om, och vartill min reservation i huvudsak anknyter sig. Man polemiserar där emot den Zanderska motionen framför allt därför, att besvärstiden för de kommunala besluten skulle förkortas. Jag skall lämna den saken å sido, huruvida det är så alldeles nödvändigt att fasthålla vid den nu anslagna besvärstiden å trettio dagar. Mig synes det, att stundom många skäl kunna tala för, att man avknappade denna tid, i synnerhet då man i likhet med mig har den erfarenheten, att många gånger de kommunala besluten utav ren obstruktionslusta överklagas och att man uppehåller de kommunala beslutens verkställighet på ett orätt sätt genom för lång besvärstid. Men jag skall som sagt lämna den saken å sido och vill nu endast uppehålla mig vid den satsen i utskottets motivering, där utskottet synes vilja göra gällande, att ett bifall till motionen skulle verka därhän, att man icke finge någon säker garanti för att protokollen verkligen bleve inom lagstadgad tid justerade, varigenom en oskälig förkortning av besvärstiden lätt kunde tänkas uppstå. Jag vill då bestämt säga ifrån, att jag har den uppfattningen, att en lagstadgad tid, som i vederbörande paragrafer kunde komma att fastslås, bör naturligtvis i fortsättningen såsom hittills, enligt vad jag hoppas, följas av vederbörande kommunalordförande, och jag tror, att denna polemik, utskottets mot herr Zanders motion, drabbar i lika hög grad konstitutionsutskottets eget utlåtande, ty icke heller där har man funnit någon sådan garanti för att protokollen skola bliva justerade inom den lagstadgade tiden, därest man skulle förutsätta vårdslöshet i detta avseende hos vederbörande.</w:t>
        <w:br/>
        <w:br/>
        <w:t>Jag vill yttermera i detta fall framhålla, att kommunalförordningen för städerna och kommunalförordningen för landet äro i så måtto olika, att för stadskommunernas vidkommande gäller icke alls stadgandena om kungörelseläsandet och tillkännagivandet i kyrkorna. $ 20 i kommunalförordningen för stad angiver rörande allmän rådstugas verksamhet, att där skall vid sammanträdet tillkännagivas, när protokollet skall justeras, och därefter räknas besvärstiden. Beträffande stadsfullmäktiges protokoll råder ungefär samma bestämmelse; där angiver man, antingen att protokollet skall justeras vid nästföljande stadsfullmäktigsammanträde, eller också, och detta är det vanligen förekommande, att protokollet skall justeras på en viss bestämd dag inför magistraten. Nu kan jag för min del icke riktigt förstå, varför man i fortsättningen skall envisas med att bibehålla den gamla dualism, som ligger i att ha en bestämmelse i kommunalförordningen för landet och en annan i kommunalförordningen för stad. Jag tror icke, att detta är riktigt; det är icke</w:t>
        <w:br/>
        <w:br/>
        <w:t>velat upptaga någon strid för ett direkt yrkande på den punkten.</w:t>
        <w:br/>
        <w:br/>
        <w:t>Jag har icke heller ansett ärendet vara av den stora vikt, att jag</w:t>
        <w:br/>
        <w:br/>
        <w:t>med hänsyn därtill velat framställa något särskilt yrkande, men</w:t>
        <w:br/>
        <w:br/>
        <w:t>Jag har heller icke velat vara med om att binda mig vid den tanke-</w:t>
        <w:br/>
        <w:br/>
        <w:t>gång, som jag finner gå igen i utskottets motivering på denna</w:t>
        <w:br/>
        <w:br/>
        <w:t>punkt, och det är därför, herr vice talman, som jag nu velat be-</w:t>
        <w:br/>
        <w:br/>
        <w:t>gagna tillfället att få utveckla den tankegång, som ligger till</w:t>
        <w:br/>
        <w:br/>
        <w:t>grund för den reservation, som jag här in blanco låtit anteckna.</w:t>
        <w:br/>
        <w:br/>
        <w:t>1918 under minst en termin bestrider full tjänstgöring såsom extra 4ng. tillfällig ordinarie eller vikarierande ämneslärare. NT 2) Den tillfälliga löneförbättringen utgår med följande belopp personalen öd</w:t>
        <w:br/>
        <w:br/>
        <w:t xml:space="preserve">eller </w:t>
      </w:r>
      <w:r>
        <w:rPr>
          <w:b/>
        </w:rPr>
        <w:t>kvinnlig¹</w:t>
      </w:r>
      <w:r>
        <w:rPr>
          <w:b w:val="0"/>
        </w:rPr>
        <w:t>, med . . «ss so sco sc + + «+ 300 &gt;</w:t>
        <w:br/>
        <w:br/>
        <w:t>3) Den tillfälliga löneförbättringen utgår till befattningshavaren i samma ordning som avlöningen i övrigt.</w:t>
        <w:br/>
        <w:br/>
        <w:t>4) Till ifrågavarande tillfälliga löneförbättring bidrager staten med två tredjedelar av det för varje fall bestämda belopp, under villkor att den återstående tredjedelen gäldas av vederbörande kommun;</w:t>
        <w:br/>
        <w:br/>
        <w:t>2) Den tillfälliga löneförbättringen utgår till befattningshavaren i samma ordning som lönen.</w:t>
      </w:r>
    </w:p>
    <w:p>
      <w:pPr>
        <w:pStyle w:val="Heading2"/>
      </w:pPr>
      <w:r>
        <w:t>2. Carl Persson (Lantmanna- och borgarepartiet inom andrakammaren, man)</w:t>
      </w:r>
    </w:p>
    <w:p>
      <w:r>
        <w:rPr>
          <w:b w:val="0"/>
        </w:rPr>
        <w:t>Herr talman! Jag har vid behandlingen av detta ärende inom statsutskottet instämt i den reservation, som här är avgiven av, förutom mig, herrar Hans Andersson och Lundblad, och jag skall med anledning härav nu be att med några få ord få angiva motiven till den ståndpunkt, jag sålunda intagit.</w:t>
        <w:br/>
        <w:br/>
        <w:t xml:space="preserve">Utskottet har här föreslagit en höjning upp till 400 kronor i den tillfälliga löneförbättring, som skall utgå till manliga och </w:t>
      </w:r>
      <w:r>
        <w:rPr>
          <w:b/>
        </w:rPr>
        <w:t>kvinnliga¹</w:t>
      </w:r>
      <w:r>
        <w:rPr>
          <w:b w:val="0"/>
        </w:rPr>
        <w:t xml:space="preserve"> lärare vid kommunala mellanskolor ävensom till extra ordina-</w:t>
        <w:br/>
        <w:br/>
        <w:t>rie och vikarierande lärare vid dessa skolor. Utskottet har där--</w:t>
        <w:br/>
        <w:br/>
        <w:t>jämte tillstyrkt en krigstidshjälp å 250 kronor för ordinarie och 150 kr. för extra lärare vid nu ifrågavarande skolor. Vidare har utskottet hemställt, att dessa belopp skola helt utgå av statsmedel, ehuru Kungl. Maj:t föreslagit, att en del måtte bestridas genom bidrag från vederbörande kommuner. I alla dessa punkter sammanfaller reservationen med vad utskottets maioritet hemställt.</w:t>
        <w:br/>
        <w:br/>
        <w:t>Den punkt, där skiljaktighet råder mellan utskottet och reservanterna, är i fråga om punkten a). Enligt utskottets hemställan i nämnda punkt skulle s. k. familjetillägg på 200 kr. tillerkännas här ifrågavarande lärare, som äro gifta och ha barn under 18 år att försörja. I denna punkt ha reservanterna icke kunnat enas med utskottet.</w:t>
        <w:br/>
        <w:br/>
        <w:t>Jag skall här be att med några ord få angiva, huru detta s. k. familjetillägg har uppkommit. Såsom vi minnas, väcktes vid 1914 års riksdag av enskild motionär förslag om, att man i avvaktan på en blivande lönereglering för folkskollärarkåren, vilken givetvis skulle för densamma innebära förbättrade löneförmåner, borde söka att komma de mest betryckta inom denna kår till hjälp. I sådant syfte föreslogs, att de, som voro mest i behov av hjälp, d. v. s. familjeförsörjarna, måtte erhålla ett visst lönetillägg, och riksdagen beslutade då också att för sådant ändamål bevilia anslag, så att var och en, som föll under dithörande bestämmelse, skulle erhålla 250 kr. Detta förslag, som väcktes och bifölls vid 1914 års riksdag, gällde således bidrag för år 1915. Kom så 1915 års riksdag. Då framlades av Kungl. Maj:t förslag om, att ett liknande lönetillägg måtte utgå även för år 1916. Av enskild motionär väcktes vid den riksdagen därjämte förslag om, att alla, även de, som dittills icke erhållit familjetillägg, inom folkskollärarkåren skulle erhålla en löneförbättring å 150 kr. Detta senare förslag blev också av riksdagen godkänt. Men på detta sätt blev ju i fråga om utfåendet av dylik löneförbättring eller lönehjälp en skillnad gjord mellan dem, som voro familjeförsörjare, och dem, som icke voro det, och denna skillnad i fråga om avlöningsförmåner utgjorde 100 kronor, till vilket belopp alltså, kan man säga, det rena familjetillägget uppgick. Nu i år har Kungl. Maj:t föreslagit och riksdagen redan godkänt, att detta familjetillägg till folkskollärarna skall uppgå till 200 kr., vartill sedan även kommer lönetillökning.</w:t>
        <w:br/>
        <w:br/>
        <w:t>Om man ser på de löner, som äro fastställda för den lärarkår, varom här är fråga, så skall man finna, att man omöjligen kan säga, att de äro de svagast avlönade bland våra lärare. De stå ju i fråga om löneförmåner betydligt över folkskollärarkåren. Vi ha därför ansett, att försiktigheten bjuder att i år icke gå med på en ut-</w:t>
        <w:br/>
        <w:br/>
        <w:t>Nu säger utskottet här i sitt betänkande nederst å sid. 6: »Utskottet har visserligen känt sig synnerligen tveksamt inför förslaget att sålunda låta denna personalgrupp erhålla löneförbättring efter principen om särskilt lönetillägg till familieförsörjare, men har dock ansett sig kunna tillstyrka en sådan åtgärd.» Utskottet vill emellertid lämna detta spörsmål för riksdagens vidkommande fullständigt öppet och oavgjort. Och utskottet vill även med avseende å nu förevarande motion framhålla detsamma, som utskottet anfört i sitt yttrande beträffande Kungl. Maj:ts förslag. Jag vill dock fråga, vad det kan hava för värde att åberopa ett sådant uttalande, då man i alla fall tar det ena steget efter det andra, som, innebär just en tillämpning av den princip, som man här förklarar sig vara på sätt och vis rädd för. Man vill ju här tillämpa denna princip i fråga om en tjänstemannakår, som med avseende å avlöningsförmåner står vida över folkskollärarkåren. Kungl. Maj:ts uppfattning härvidlag är ju tydlig och klar, då Kungl. Mai:t icke föreslagit något sådant, men genom enskilda motionärer har i alla fall förslag därom framställts, vilket förslag nu av utskottets majoritet tillstyrkts. Jag vill emellertid, som sagt, hemställa, vad det kan vara för värde i att sålunda åberopa det av 1914 års riksdag gjorda uttalandet i denna del, när man nu likväl vill ta ett sådant steg. Jag tycker för min del, att detta uttalande icke kan ha mycket värde, om man skall fortgå på detta sätt även vid blivande regleringar av lönestaterna för både den ena och andra kåren.</w:t>
        <w:br/>
        <w:br/>
        <w:t>Jag har styrkts i min uppfattning, att det är meningen att fortgå på denna väg, då jag fått läsa en skrivelse, ställd till Kungl. Maj:t och undertecknad av två byråchefer i folkskoleöverstyrelsen.</w:t>
        <w:br/>
        <w:br/>
        <w:t>I denna skrivelse, som är dagtecknad så sent som i slutet av april Afertär detta år, hemställes, »att Eders Kungl. Maj:t täcktes vidtaga åtring åt lärar gärder till påskyndande i möjligaste mån av det definitiva genompersonalen vid förandet av löneoch pensionsregleringen för kommunala mellankommunala skolans och högre folkskolans lärarpersonal samt att Eders Kungl. ”ellanskolor. Maj:t därvid måtte särskilt behjärta det trängande behovet av vä- (Forts.) sentliga förhöjningar i de av lärarlönenämnden för sagda lärarper-</w:t>
        <w:br/>
        <w:br/>
        <w:t>möjligt, den av kristiden förorsakade ökning i levnadskostnaderna,</w:t>
        <w:br/>
        <w:br/>
        <w:t>som för närmaste framtid kan förutses.»</w:t>
        <w:br/>
        <w:br/>
        <w:t>Vi se således, att man här lagt tonvikten på, att denna personal vid en blivande lönereglering skall tillerkännas även familjetillägg. Såsom vi veta, har ju lärarlönenämnden i sitt förslag icke tänkt sig endast ett familjetillägg å 200 kronor, utan 3 vardera å 200 kr., tillhopa 600 kr.</w:t>
        <w:br/>
        <w:br/>
        <w:t>Genom ett bifall till utskottets nu förevarande hemställan har riksdagen i själva verket givit på hand, att man vid den blivande löneregleringen på nu ifrågavarande område, varom förslag med säkerhet är att vänta till nästa riksdag, skall fortsätta på denna väg, ty att då ta det steg tillbaka, som man nu står i begrepp att göra, lär väl icke vara möjligt. Jag skulle därför för min del anse, att kammaren gjorde klokt i att icke nu taga detta steg, utan i stället godkänna vad reservanterna här ha tillstyrkt. Reservanternas förslag innebär ju i alla fall för dessa lärare en tillfällig löneförbättring, som icke är att förakta, och det är att märka, att deras löneförmåner, även om de icke äro tillräckliga, dock äro så avsevärt högre än dem, som folkskollärarkåren får nöja sig med, att verkligen här icke behöver för nästa år bevilja detta familjetillägg.</w:t>
        <w:br/>
        <w:br/>
        <w:t>Jag ber således, herr talman, att få yrka bifall till den av herrar Hans Andersson och Lundblad jämte mig här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