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1405</w:t>
      </w:r>
    </w:p>
    <w:p>
      <w:r>
        <w:rPr>
          <w:b/>
        </w:rPr>
        <w:t xml:space="preserve">Datum: </w:t>
      </w:r>
      <w:r>
        <w:t>1918-05-29</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Evald Krispin Kropp (Socialdemokraterna, man)</w:t>
      </w:r>
    </w:p>
    <w:p>
      <w:r>
        <w:rPr>
          <w:b w:val="0"/>
        </w:rPr>
        <w:t>Herr vice talman! Som man ser av detta betänkande har utskottet efter en mycket välvillig motivering icke kunnat bifalla den av mig jämte min partivän Bärg i Katrineholm väckta motionen om pension till några änkor efter arbetare vid gevärsfaktoriet. Utskottet stöder detta sitt avslagsyrkande på ett yttrande av statskontoret. till vilket motionen varit hänvisad, i vilket yttrande statskontoret bland annat som skäl för avslag framhåller de vittgående konsekvenser, som ett bifall skulle medföra. Jag skall visst icke förneka utan villigt erkänna, att då jag av dessa gamla änkor blev ombedd att framlägga deras behjärtansvärda fråga inför riksdagen, så var.jag ej heller omedveten om att det skulle komma att stöta på principiella motigheter. Men, mina herrar, dels med tanke på den ytterst brydsamma ekonomiska ställning, i vilken dessa änkor befinna sig, dels också med tanke på den långa tid, som deras män ha arbetat i kronans tjänst och under denna sin långa arbetstid uppfört sig på sådant mönstergillt sätt, att de därför blivit belönade med medalj för långvarig och trogen tjänst, och då vidare till detta kommer, att de under sin långa lev-</w:t>
        <w:br/>
        <w:br/>
        <w:t>nad icke ha genom den största sparsamhet kunnat avsätta något, för att deras änkor icke skulle befinna sig, som man säger, på bar backe, då deras män falla ifrån, ja, med tanke på allt detta ansåg jag det vara en oavvislig plikt för mig att framlägga denna sak för riksdagen och låta riksdagen avgöra den.</w:t>
        <w:br/>
        <w:br/>
        <w:t xml:space="preserve">Motionen har som sagt varit hänvisad till statskontoret, som i sin ordning hänvisat den till arméförvaltningens artilleridepartement, varunder gevärsfaktoriet sorterar, för avgivande av yttrande. Av detta yttrande framgår alldeles oförtydbart, att artilleridepartementet ställer sig fullt och helt på motionens sida. Departementet visar också hän på ett fall, som är fullt analogt med de fall, som förekomma i motionen, då nämligen på grund av en kungl. proposition år 1916 pension tilldelades en </w:t>
      </w:r>
      <w:r>
        <w:rPr>
          <w:b/>
        </w:rPr>
        <w:t>änka²</w:t>
      </w:r>
      <w:r>
        <w:rPr>
          <w:b w:val="0"/>
        </w:rPr>
        <w:t xml:space="preserve"> efter en besiktningsrustmästare.</w:t>
        <w:br/>
        <w:br/>
        <w:t>Vad emellertid konsekvenserna beträffar, så kommer man naturligtvis till sådana resultat som statskontoret, då man enbart ser frågan ur teoretisk synpunkt, men om man ser den ur det verkliga livets synpunkt sådant det gestaltar sig för de arbetare det här gäller, så tror jag man kommer till helt andra resultat. Som vi finna av motionen är det nu 68 år sedan den äldste av dessa arbetare blev anställd vid gevärsfaktoriet. Under dessa 68 år ha vid gevärsfaktoriet varit anställda flera tusental arbetare, och när man sedan går att bland dessa tusentals arbetare söka få fram dem, vilkas änkor skulle kunna tänkas bli delaktiga av en liten pension, så får man fram endast dessa åtta. Det visar ju tydligt och klart, att vad konsekvenserna betäffar kunna de icke för gevärsfaktoriets arbetare vara av vittgående art. Det är ju så vid gevärsfaktoriet att för varje ny gevärsmodell plockar man in 500 å 600 arbetare, och när sedan arméns behov av gevär blivit tillfredsställt, så avskedas de i massa. Därav följer, att det kan naturligtvis icke bli många, vilkas änkor komma ifråga att få pension.</w:t>
        <w:br/>
        <w:br/>
        <w:t>Ser man på den tid dessa arbetare varit anställda vid gevärsfaktoriet, finner man, att de varit anställda tillsammans icke mindre än 408 år. Kan det då vara för mycket, att änkorna efter dessa arbetare skulle komma i åtnjutande av en liten pension, som tillsammans för dem alla icke uppgår till mer än 3,600 kronor och som naturligtvis snart nog skulle helt försvinna, då de flesta av änkorna äro i en ålder av 70 och upp till 86 år?</w:t>
        <w:br/>
        <w:br/>
        <w:t>Herr vice talman! Jag skall icke längre uppehålla tiden, utan på grund av vad jag nu i korthet framhållit ber jag att få yrka bifall till min motion och avslag på utskottets hemställan.</w:t>
      </w:r>
    </w:p>
    <w:p>
      <w:pPr>
        <w:pStyle w:val="Heading2"/>
      </w:pPr>
      <w:r>
        <w:t>2. Malte Sommelius (Lantmanna- och borgarepartiet inom andrakammaren, man)</w:t>
      </w:r>
    </w:p>
    <w:p>
      <w:r>
        <w:rPr>
          <w:b w:val="0"/>
        </w:rPr>
        <w:t>Herr talman! Det har inom utskottet varit föremål för lång diskussion, vad man skulle göra vid denna av herrar Kropp och Bärg i Katrineholm framförda motion, då man inom utskottet också hade samma uppfattning, som den siste ärade</w:t>
        <w:br/>
        <w:br/>
        <w:t>talaren gjort sig till tolk för, att det var ett behov, som man knappast kunde avvisa. Emellertid kunde utskottet icke vara blint för de konsekvenser, som ett beslut i överensstämmelse med motionärernas önskan skulle medföra, då det finns åtskilliga grupper av arbetare vid statens järnvägar, telegrafverket och vattenfallsverket, som ifall framställningen bifölles, skulle bli på sätt och vis tillbakasatta. Därför har utskottet uttalat den förväntan, att de av finansdepartementet tillsatta sakkunnigas förslag så snart det låter sig göra skall i vederbörlig ordning upptagas till behandling och framföras till riksdagen. Det är sålunda huvudsakligen konsekvenserna av den orättvisa, som skulle ligga däri, att man blott toge med en grupp, som gjort, att utskottet icke för närvarande anser sig kunna tillstyrka bifall till framställningen.</w:t>
        <w:br/>
        <w:br/>
        <w:t>Jag tillåter mig därför att hemställa om bifall till utskottets hemställan.</w:t>
      </w:r>
    </w:p>
    <w:p>
      <w:pPr>
        <w:pStyle w:val="Heading2"/>
      </w:pPr>
      <w:r>
        <w:t>3. Anders Johan Bärg (Socialdemokraterna, man)</w:t>
      </w:r>
    </w:p>
    <w:p>
      <w:r>
        <w:rPr>
          <w:b w:val="0"/>
        </w:rPr>
        <w:t>Herr talman! Jag skall bara yttra ett par ord.</w:t>
        <w:br/>
        <w:br/>
        <w:t>Om det hade gällt att föreslå något understöd åt änkor efter med dessa jämnställda befattningshavare vid ett av de verk, som om” fatta en mängd sådana tjänstehavare, så skulle jag visst icke ha tillåtit mig att underteckna motionen. 'Ty det kan ju icke vara reson i, att man plockar ut ett fåtal bland de många och beviljar dem en förmån. Men här gäller det ju en så att säga strängt begränsad och avskild krets. Det är endast fråga om några änkor efter befattningshavare vid gevärsfaktoriet, och det kan ju icke gärna bli av så prejudicierande betydelse, som man här från utskottet tycks göra gällande, om man söker hjälpa dessa änkor med ett litet understöd på gamla dagar.</w:t>
        <w:br/>
        <w:br/>
        <w:t xml:space="preserve">Det är mycket gott och väl med den igångsatta utredningen om centralisering av de statsunderstödda pensionskassorna och även i sammanhang därmed utredning om </w:t>
      </w:r>
      <w:r>
        <w:rPr>
          <w:b/>
        </w:rPr>
        <w:t>änkepensionering²</w:t>
      </w:r>
      <w:r>
        <w:rPr>
          <w:b w:val="0"/>
        </w:rPr>
        <w:t>, men ett avvaktande av resultatet av denna utredning kan endast leda därtill, att dessa gamla änkor till största delen bli alldeles ohjälpta under sin livstid.</w:t>
        <w:br/>
        <w:br/>
        <w:t>Jag kan verkligen icke finna, att man hade gjort något så farligt med hänsyn till konsekvenserna, om man tillgodosett dessa fattiga gamla gummor med en liten slant i deras livstid. Det är länge nog de kämpat med de svårigheter, som följa med fattigdomen.</w:t>
        <w:br/>
        <w:br/>
        <w:t>Med dessa synpunkter för ögonen, har jag, herr talman, ansett mig oförhindrad underteckna ifrågavarande motion, och jag finner mig icke övertygad av de skäl, som utskottet här förebragt för sitt avslagsyrkande.</w:t>
        <w:br/>
        <w:br/>
        <w:t>På samma gång jag ber att få instämma med herr Kropp, då han yrkat bifall till motionen, vill jag även stryka under något som jag i ett annat sammanhang här förut har pekat på. Det var nämligen så, att vid behandlingen av frågan om krigstidstillägg för statstjänare förelåg även förslag om att bisträcka änkor efter sadana</w:t>
        <w:br/>
        <w:br/>
        <w:t>statstjänare, som icke åtnjuta pension. Jag nödgades vid behandlingen av detta förslag, sådant det förelåg, och då det gällde en så ofantlig mängd sådana personer, ställa mig på avslagslinjen, men underströk starkt behovet av att snarast möjligt en utredning utfördes så att man kunde komma till något resultat. Jag vill nu i detta sammanhang ytterligare betona, att det är nödvändigt, att detta ärende påskyndas och hjälp på annat sätt kan beredas, så att de av kammarens ledamöter, som, liksom nu i fråga om dessa gamla, hava ett varmt hjärta, slippa att av mera formella skäl ställa sig på avslagslinjen, såsom herr Sommelius gjort i detta fall.</w:t>
        <w:br/>
        <w:br/>
        <w:t>Jag ber, herr talman, att få yrka bifall motionen. Jag är övertygad om. att kammaren icke kommer att i detta fall med hänsyn till konsekvenserna ångra ett bifall till motionen.</w:t>
      </w:r>
    </w:p>
    <w:p>
      <w:pPr>
        <w:pStyle w:val="Heading2"/>
      </w:pPr>
      <w:r>
        <w:t>4. Oscar Lövgren (Socialdemokratiska vänstergruppen, man)</w:t>
      </w:r>
    </w:p>
    <w:p>
      <w:r>
        <w:rPr>
          <w:b w:val="0"/>
        </w:rPr>
        <w:t>Herr talman! När jag läste detta utskottsbetänkande så tänkte jag på sanningen i det gamla ordspråket: Det är skillnad mellan människor och människor. Vi hade ju för en tid sedan till behandling frågan om en pension till mo-</w:t>
        <w:br/>
        <w:br/>
        <w:t xml:space="preserve">dern till en vetenskapsman, vilken pension var på 1,000 kronor. Ang. understöd [ ett annat utskottsutlåtande föreslås en pension av 1,100 kronor "4 sröstaren till </w:t>
      </w:r>
      <w:r>
        <w:rPr>
          <w:b/>
        </w:rPr>
        <w:t>änkan²</w:t>
      </w:r>
      <w:r>
        <w:rPr>
          <w:b w:val="0"/>
        </w:rPr>
        <w:t xml:space="preserve"> efter en löjtnant. Här gäller det en </w:t>
      </w:r>
      <w:r>
        <w:rPr>
          <w:b/>
        </w:rPr>
        <w:t>änka²</w:t>
      </w:r>
      <w:r>
        <w:rPr>
          <w:b w:val="0"/>
        </w:rPr>
        <w:t xml:space="preserve">, som Sitter </w:t>
      </w:r>
      <w:r>
        <w:rPr>
          <w:b/>
        </w:rPr>
        <w:t>änka²</w:t>
      </w:r>
      <w:r>
        <w:rPr>
          <w:b w:val="0"/>
        </w:rPr>
        <w:t xml:space="preserve"> och minmed sju minderåriga barn och uppbär en pension på 300 kronor deråriga barn. Jämte det tillägg </w:t>
      </w:r>
      <w:r>
        <w:rPr>
          <w:b/>
        </w:rPr>
        <w:t>hon²</w:t>
      </w:r>
      <w:r>
        <w:rPr>
          <w:b w:val="0"/>
        </w:rPr>
        <w:t xml:space="preserve"> nu jämlikt beslut i år har rätt till. eller till- — (Forts. sammans 525 kronor. Men jag vädjar, är det verkligen nägonting för en ensam </w:t>
      </w:r>
      <w:r>
        <w:rPr>
          <w:b/>
        </w:rPr>
        <w:t>kvinna¹</w:t>
      </w:r>
      <w:r>
        <w:rPr>
          <w:b w:val="0"/>
        </w:rPr>
        <w:t xml:space="preserve"> med sju minderåriga barn att leva på? Jag har här yrkat på att </w:t>
      </w:r>
      <w:r>
        <w:rPr>
          <w:b/>
        </w:rPr>
        <w:t>hon²</w:t>
      </w:r>
      <w:r>
        <w:rPr>
          <w:b w:val="0"/>
        </w:rPr>
        <w:t xml:space="preserve"> skulle äga uppbära ersättning eller pension enligt lagen av den 53 juni 1916, som trädde i kratt den 1 januari innevarande år. Efter denna lag skulle </w:t>
      </w:r>
      <w:r>
        <w:rPr>
          <w:b/>
        </w:rPr>
        <w:t>hon²</w:t>
      </w:r>
      <w:r>
        <w:rPr>
          <w:b w:val="0"/>
        </w:rPr>
        <w:t xml:space="preserve"> få ett belopp liggande mellan 1,000 och 1,200 kronor. Eller det belopp vartill </w:t>
      </w:r>
      <w:r>
        <w:rPr>
          <w:b/>
        </w:rPr>
        <w:t>änkan²</w:t>
      </w:r>
      <w:r>
        <w:rPr>
          <w:b w:val="0"/>
        </w:rPr>
        <w:t xml:space="preserve"> skulle vara berättigad om den olyckshändelse, varigenom </w:t>
      </w:r>
      <w:r>
        <w:rPr>
          <w:b/>
        </w:rPr>
        <w:t>hon²</w:t>
      </w:r>
      <w:r>
        <w:rPr>
          <w:b w:val="0"/>
        </w:rPr>
        <w:t xml:space="preserve"> berövades sin man, hade inträffat 6 månader senare. — Jag är icke säker på vad den avlidnes årliga inkomst utgjorde. — Därför att han nu emellertid genom olyckshändelse råkade dö sex månader innan lagen trädde i kraft. skulle nu </w:t>
      </w:r>
      <w:r>
        <w:rPr>
          <w:b/>
        </w:rPr>
        <w:t>änkan²</w:t>
      </w:r>
      <w:r>
        <w:rPr>
          <w:b w:val="0"/>
        </w:rPr>
        <w:t xml:space="preserve"> med de sju barnen få dragas med fattigdom och nöd i alla sina dagar. Det synes mig vara ett orimligt förhållande. Jag kan förstå, att bankoutskottet ansett, att detta skulle vara något slags prejudikat på detta område, som man fruktar för. Jag hoppas emellertid, trots att utskottet är enhälligt för avslag å min motion, att andra kammaren skall känna sig oförhindrad att gå på den linje jag i min motion föreslagit. Jag anser, att denna fråga är så behjärtansvärd, att jag även vågar begära votering, trots det att jag har ett enhälligt bankoutskott emot mig.fz..</w:t>
      </w:r>
    </w:p>
    <w:p>
      <w:pPr>
        <w:pStyle w:val="Heading2"/>
      </w:pPr>
      <w:r>
        <w:t>5. Algot Törnkvist (Socialdemokraterna, man)</w:t>
      </w:r>
    </w:p>
    <w:p>
      <w:r>
        <w:rPr>
          <w:b w:val="0"/>
        </w:rPr>
        <w:t>Herr Talman! Vi hava i ar haft flera ärenden av samma beskaffenhet som detta i bankoutskottet. Resultatet har blivit ungefär enahanda, d. v. s. &gt;att förevarande motion icke måtte till någon riksdagens åtgärd föranleda”. Det betyder ju emellertid icke, att motionärernas yrkanden i verkligheten blivit avvisade. MNSåväl i det fall, som denna motion omfattar som i det den första motionen i detta betänkande gäller, har riksdagen förut på förslag av statsutskottet i anledning av en kungl. proposition för några dagar sedan höjt livräntorna med 7572. ID. v. s., en sådan livränta som omnämnes i herr Lövgrens motion och enligt 1901 års lag utgår med 300 kronor, har genom ett beslut ökats med 225 kronor. — Det gäller samma sak i motionen nr 16 i första kammaren av herr Berglund, som kammaren nyss avslog.</w:t>
        <w:br/>
        <w:br/>
        <w:t xml:space="preserve">Nu är det alldeles uppenbart, att 525 kronor icke är mycket att leva på för en </w:t>
      </w:r>
      <w:r>
        <w:rPr>
          <w:b/>
        </w:rPr>
        <w:t>kvinna¹</w:t>
      </w:r>
      <w:r>
        <w:rPr>
          <w:b w:val="0"/>
        </w:rPr>
        <w:t xml:space="preserve"> och sju barn. Jag vill tillägga, att det är icke. mycket att leva på för en ensam person. Den summan räcker uppenbarligen icke till vare sig för en familj bestående av en </w:t>
      </w:r>
      <w:r>
        <w:rPr>
          <w:b/>
        </w:rPr>
        <w:t>änka²</w:t>
      </w:r>
      <w:r>
        <w:rPr>
          <w:b w:val="0"/>
        </w:rPr>
        <w:t xml:space="preserve"> och sju barn eller till en ensam person. Det är naturligtvis ett alldeles för litet belopp i båda fallen, mycket för litet. Men man får taga hänsyn till de föreliggande omständigheterna.</w:t>
        <w:br/>
        <w:br/>
        <w:t>Nu är det ju strängt taget så, att vi varit eniga om att icke gå högre än till 752 ökning av dessa livräntor. Om vi icke hade varit eniga därvidlag, så hade man kunnat vänta motion om att dessa</w:t>
        <w:br/>
        <w:br/>
        <w:t>utöver vad Kungl. Maj:t föreslagit, nämligen 5072. Så skedde ju</w:t>
        <w:br/>
        <w:br/>
      </w:r>
      <w:r>
        <w:rPr>
          <w:b/>
        </w:rPr>
        <w:t>änka²</w:t>
      </w:r>
      <w:r>
        <w:rPr>
          <w:b w:val="0"/>
        </w:rPr>
        <w:t xml:space="preserve"> och min- ViSSerligen då i anledning av yrkande av enskild motionär statsderåriga barn. Utskottet höjde det föreslagna beloppet men stannade vid 75 7 vilket</w:t>
        <w:br/>
        <w:br/>
        <w:t>också blev riksdagens beslut. Det är en sak, som vi böra taga i</w:t>
        <w:br/>
        <w:br/>
        <w:t>betraktande vid behandlingen av ärenden sådana som detta. Atmin-</w:t>
        <w:br/>
        <w:br/>
        <w:t>stone har jag ansett, att man bör tänka på den. Jag vill erinra därom, att när det hos enskild arbetsgivare inträffar fall sådant som det föreliggande, att en familjeförsörjare genom olyckshändelse ryckes från sin familj, så kunna de efterlämnade enligt 1901 års olycksfallsförsäkringslag icke komma i åtnjutande av den ökning i livräntan, som riksdagen beviljat stätstjänare efter samma lag. Det finnes synnerligen många fall, där familjen är lika stor. Vi stå fullkomligt maktlösa därvidlag. När vi höjt de till de efterlevande utgående livräntorna till 752 över lag för personer, som arbeta i statens tjänst, så synes det mig — så har det också synts utskottet — att det icke för enskilda fall kan vara möjligt att gå utöver det beslut, åtminstone icke nu, som riksdagen för några dagar sedan fattat.</w:t>
        <w:br/>
        <w:br/>
        <w:t>Det är här således icke fråga om något slags ovilja mot att bevilja en sådan höjning, vilken skulle utgå enligt 1916 års lag, utan det är rätt och slätt så, att det synts vara omöjligt att ordna saken för alla, som vi väl måste, om vi nu göra ett undantag för ett speciellt fall.</w:t>
        <w:br/>
        <w:br/>
        <w:t>ör övrigt vill jag säga, att det är önskvärt att flytta upp alla, som åtnjuta ersättning efter tidigare bestämmelser, d. v. s. 1901 års olycksfallsförsäkringslag, till att få ersättning efter den i år ikraftträdande nya olycksfallförsäkringslagen. Men då bör det väl föreligga ett yrkande, som avser åtminstone alla statstjänare. Ett sådant yrkande föreligger icke nu. Man kan tydligen icke prejudicera en sådan angelägenhet och som här komma fram med ett särskilt fall. På grund av sakliga skäl har utskottet icke kunnat göra annat än hålla sig till att det beslut, som fattats av riksdagen för några dagar sedan, skall gälla för alla i liknande ställning, och utskottet har därför yrkat avslag på motionen. Jag hemställer, herr talman, om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1405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