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1411</w:t>
      </w:r>
    </w:p>
    <w:p>
      <w:r>
        <w:rPr>
          <w:b/>
        </w:rPr>
        <w:t xml:space="preserve">Datum: </w:t>
      </w:r>
      <w:r>
        <w:t>1918-06-11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Ulrik Leander (Frisinnade folkpartiet, man)</w:t>
      </w:r>
    </w:p>
    <w:p>
      <w:r>
        <w:rPr>
          <w:b w:val="0"/>
        </w:rPr>
        <w:t xml:space="preserve">Herr talman! Jag har väckt en motion med "grad. yrkande, att folkskollärarinnan Göta Matilda Andersson måtte för uppflyttning i andra lönegraden få tillgodoräkna sig den tid av sex läsår, </w:t>
      </w:r>
      <w:r>
        <w:rPr>
          <w:b/>
        </w:rPr>
        <w:t>hon²</w:t>
      </w:r>
      <w:r>
        <w:rPr>
          <w:b w:val="0"/>
        </w:rPr>
        <w:t xml:space="preserve"> varit anställd vid Norrbottens läns landstings seminarium i Råneå. Att </w:t>
      </w:r>
      <w:r>
        <w:rPr>
          <w:b/>
        </w:rPr>
        <w:t>hon²</w:t>
      </w:r>
      <w:r>
        <w:rPr>
          <w:b w:val="0"/>
        </w:rPr>
        <w:t xml:space="preserve"> måtte komma i åtnjutande av denna förmån, måste betraktas såsom </w:t>
      </w:r>
      <w:r>
        <w:rPr>
          <w:b/>
        </w:rPr>
        <w:t>hennes²</w:t>
      </w:r>
      <w:r>
        <w:rPr>
          <w:b w:val="0"/>
        </w:rPr>
        <w:t xml:space="preserve"> ofrånkomliga rätt, och detta har icke heller statsutskottet bestritt. Utskottet hänvisar emellertid till sitt utlåtande nr 197 i anledning av Kungl. Maj:ts proposition angående löneoch pensionsreglering för lärarepersonalen vid vissa statens och kommunala läroanstalter och riksdagens med anledning därav fattade beslutet. Naturligtvis voro både denna proposition och det med anledning därav fattade beslutet obekanta för mig, när jag väckte min motion. Emellertid är nu — säger utskottet — denna </w:t>
      </w:r>
      <w:r>
        <w:rPr>
          <w:b/>
        </w:rPr>
        <w:t>lärarinnan³</w:t>
      </w:r>
      <w:r>
        <w:rPr>
          <w:b w:val="0"/>
        </w:rPr>
        <w:t xml:space="preserve"> Göta Matilda Andersson genom detta beslut berättigad till lönetursberäkning, och på grund härav anser utskottet, att min motion icke må till någon riksdagens åtgärd föranleda. När man nu vet, huru försiktiga våra myndigheter äro på grund av den stränga kontroll, de äro underkastade, ifråga om utanordnande av medel, kunde det falla vederbörande in att strikt hålla sig till ordalydelsen i utskottets kläm och mena, att, när motionen är avslagen, bör någon upp-</w:t>
        <w:br/>
        <w:br/>
        <w:t xml:space="preserve">flyttning av förbemälda </w:t>
      </w:r>
      <w:r>
        <w:rPr>
          <w:b/>
        </w:rPr>
        <w:t>lärarinna³</w:t>
      </w:r>
      <w:r>
        <w:rPr>
          <w:b w:val="0"/>
        </w:rPr>
        <w:t xml:space="preserve"> Andersson i högre lönegrad icke ifrågakomma. Naturligtvis skulle det vara förmätet av en enkel man att vilja ge statsutskottet — det mäktiga och visa statsutskottet — undervisning, och jag vågar mig icke på det, men jag vill bara säga vad jag tycker. Hade utskottets kläm lytt, att motionen måtte anses besvarad genom riksdagens förbemälda beslut, hade någon tvekan icke behövt uppkomma. Nu hoppas Jag i alla fall, att </w:t>
      </w:r>
      <w:r>
        <w:rPr>
          <w:b/>
        </w:rPr>
        <w:t>lärarinnan³</w:t>
      </w:r>
      <w:r>
        <w:rPr>
          <w:b w:val="0"/>
        </w:rPr>
        <w:t xml:space="preserve"> Göta Andersson skall få sin rätt, och sedan betyder det icke så mycket, vilken lydelse utskottets kläm har, och under den förhoppningen, herr talman, att </w:t>
      </w:r>
      <w:r>
        <w:rPr>
          <w:b/>
        </w:rPr>
        <w:t>hon²</w:t>
      </w:r>
      <w:r>
        <w:rPr>
          <w:b w:val="0"/>
        </w:rPr>
        <w:t xml:space="preserve"> i alla fall blir uppflyttad i en högre lönegrad, skall jag icke tillåta mig att göra något yrkande.</w:t>
      </w:r>
    </w:p>
    <w:p>
      <w:pPr>
        <w:pStyle w:val="Heading2"/>
      </w:pPr>
      <w:r>
        <w:t>2. Ola Hansson Walden (Socialdemokraterna, man)</w:t>
      </w:r>
    </w:p>
    <w:p>
      <w:r>
        <w:rPr>
          <w:b w:val="0"/>
        </w:rPr>
        <w:t xml:space="preserve">Herr talman! Den tolkning, som den ärade motionären ville ge det föreliggande utskottsutlåtandets kläm, är icke riktig. Vi ha i statsutskottet icke kunnat göra annat än hänvisa till ett beslut, som riksdagen redan fattat angående lärarekårens ställning i allmänhet, nämligen att, när en </w:t>
      </w:r>
      <w:r>
        <w:rPr>
          <w:b/>
        </w:rPr>
        <w:t>lärarinna³</w:t>
      </w:r>
      <w:r>
        <w:rPr>
          <w:b w:val="0"/>
        </w:rPr>
        <w:t xml:space="preserve"> varit anställd vid ett småskoleseminarium, </w:t>
      </w:r>
      <w:r>
        <w:rPr>
          <w:b/>
        </w:rPr>
        <w:t>hon²</w:t>
      </w:r>
      <w:r>
        <w:rPr>
          <w:b w:val="0"/>
        </w:rPr>
        <w:t xml:space="preserve"> enligt detta beslut får tillgodoräkna sig tjänsteår, då </w:t>
      </w:r>
      <w:r>
        <w:rPr>
          <w:b/>
        </w:rPr>
        <w:t>hon²</w:t>
      </w:r>
      <w:r>
        <w:rPr>
          <w:b w:val="0"/>
        </w:rPr>
        <w:t xml:space="preserve"> sedan övergår till annan kommunal tjänst såsom </w:t>
      </w:r>
      <w:r>
        <w:rPr>
          <w:b/>
        </w:rPr>
        <w:t>lärarinna³</w:t>
      </w:r>
      <w:r>
        <w:rPr>
          <w:b w:val="0"/>
        </w:rPr>
        <w:t xml:space="preserve">. Vi kunde naturligtvis icke ge den form åt klämmen i utskottsutlåtandet angående nu föreliggande fråga, som herr Leander tycks förutsätta, att det bort kunna ske, nämligen att vi skulle ha sagt, att motionen skulle vara besvarad genom vad riksdagen förut beslutat, då denna motion icke framkommit i samband med den proposition, angående vilken vi fattat det beslut, som jag nyss berörde. Under sådana förhållanden var det icke möjligt för utskottet att komma till annat resultat än det kommit till. Och det är alldeles klart och tydligt, att, då riksdagen godkänt den av Kungl. Maj:t föreslagna generella lönetursrätten för dessa </w:t>
      </w:r>
      <w:r>
        <w:rPr>
          <w:b/>
        </w:rPr>
        <w:t>lärarinnor³</w:t>
      </w:r>
      <w:r>
        <w:rPr>
          <w:b w:val="0"/>
        </w:rPr>
        <w:t xml:space="preserve">, måste också denna </w:t>
      </w:r>
      <w:r>
        <w:rPr>
          <w:b/>
        </w:rPr>
        <w:t>lärarinna³</w:t>
      </w:r>
      <w:r>
        <w:rPr>
          <w:b w:val="0"/>
        </w:rPr>
        <w:t xml:space="preserve"> komma i åtnjutande av just den förmån, som herr Leander i sin motion velat tillförsäkra </w:t>
      </w:r>
      <w:r>
        <w:rPr>
          <w:b/>
        </w:rPr>
        <w:t>henne²</w:t>
      </w:r>
      <w:r>
        <w:rPr>
          <w:b w:val="0"/>
        </w:rPr>
        <w:t>. Jag kan därför icke finna annat än att utskottets ståndpunkt är riktig och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1411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