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323</w:t>
      </w:r>
    </w:p>
    <w:p>
      <w:r>
        <w:rPr>
          <w:b/>
        </w:rPr>
        <w:t xml:space="preserve">Datum: </w:t>
      </w:r>
      <w:r>
        <w:t>1919-03-03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 xml:space="preserve">Detta ärende gäller en gammal 72-årig </w:t>
      </w:r>
      <w:r>
        <w:rPr>
          <w:b/>
        </w:rPr>
        <w:t>änka²</w:t>
      </w:r>
      <w:r>
        <w:rPr>
          <w:b w:val="0"/>
        </w:rPr>
        <w:t xml:space="preserve">, för vilken alla myndigheter hava föreslagit en pension av 600 kronor. </w:t>
      </w:r>
      <w:r>
        <w:rPr>
          <w:b/>
        </w:rPr>
        <w:t>Hennes²</w:t>
      </w:r>
      <w:r>
        <w:rPr>
          <w:b w:val="0"/>
        </w:rPr>
        <w:t xml:space="preserve"> man var slöjdlärare inom husslöjdens område och hade tjänstgjort 36 år samt utövat en gagnande och framgångsrik verksamhet. Ankan är nu urståndsatt att genom arbete bidraga till sin försörjning. Lantbruksstyrelsen har varmt tillstyrkt, att </w:t>
      </w:r>
      <w:r>
        <w:rPr>
          <w:b/>
        </w:rPr>
        <w:t>hon²</w:t>
      </w:r>
      <w:r>
        <w:rPr>
          <w:b w:val="0"/>
        </w:rPr>
        <w:t xml:space="preserve"> skulle få den ifrågasatta pensionen, statskontoret har instämt i tillstyrkandet av denna ansökning, och departementschefen har sedan gjort framställning i samma riktning.</w:t>
        <w:br/>
        <w:br/>
        <w:t xml:space="preserve">Såsom motivering för sitt avstyrkande anför utskottet endast, att </w:t>
      </w:r>
      <w:r>
        <w:rPr>
          <w:b/>
        </w:rPr>
        <w:t>änkan²</w:t>
      </w:r>
      <w:r>
        <w:rPr>
          <w:b w:val="0"/>
        </w:rPr>
        <w:t xml:space="preserve"> icke har någon lagenlig rätt till pensionen och att verkligt behov av understöd icke är för handen. Att </w:t>
      </w:r>
      <w:r>
        <w:rPr>
          <w:b/>
        </w:rPr>
        <w:t>hon²</w:t>
      </w:r>
      <w:r>
        <w:rPr>
          <w:b w:val="0"/>
        </w:rPr>
        <w:t xml:space="preserve"> icke har lagenlig rätt är självklart men lantbruksstyrelsen hänvisar till att 1914 års riksdag beviljat lantbruksingenjören Berggrens </w:t>
      </w:r>
      <w:r>
        <w:rPr>
          <w:b/>
        </w:rPr>
        <w:t>änka²</w:t>
      </w:r>
      <w:r>
        <w:rPr>
          <w:b w:val="0"/>
        </w:rPr>
        <w:t xml:space="preserve"> 600 kronor i pension fast </w:t>
      </w:r>
      <w:r>
        <w:rPr>
          <w:b/>
        </w:rPr>
        <w:t>hon²</w:t>
      </w:r>
      <w:r>
        <w:rPr>
          <w:b w:val="0"/>
        </w:rPr>
        <w:t xml:space="preserve"> icke heller hade lagenlig rätt till understöd. Vad sedan behovet av understöd beträffar, är det ju sant, att boet efter mannens död kunde uppvisa en behållning av 23,000 kronor i runt tal, men av detta var det blott 10,500 kr. kontanta medel, och det andra utgjordes av husgeråd. Huru denna </w:t>
      </w:r>
      <w:r>
        <w:rPr>
          <w:b/>
        </w:rPr>
        <w:t>änka²</w:t>
      </w:r>
      <w:r>
        <w:rPr>
          <w:b w:val="0"/>
        </w:rPr>
        <w:t xml:space="preserve"> skall kunna leva i dessa tider på räntan å 10,000 kronor, är för mig åtminstone ofattligt, och då </w:t>
      </w:r>
      <w:r>
        <w:rPr>
          <w:b/>
        </w:rPr>
        <w:t>hon²</w:t>
      </w:r>
      <w:r>
        <w:rPr>
          <w:b w:val="0"/>
        </w:rPr>
        <w:t xml:space="preserve"> är så gammal och mannen så länge tjänat staten samt då mannen vidare icke hade rätt att för </w:t>
      </w:r>
      <w:r>
        <w:rPr>
          <w:b/>
        </w:rPr>
        <w:t>änkans²</w:t>
      </w:r>
      <w:r>
        <w:rPr>
          <w:b w:val="0"/>
        </w:rPr>
        <w:t xml:space="preserve"> räkning ingå i någon</w:t>
        <w:br/>
        <w:br/>
        <w:t>pensionskassa, skall jag bedja, att, i likhet med alla hörda myndigheter, få tillstyrka, att kammaren beviljar den ifrågasatta pensionen. 600 kronor.</w:t>
      </w:r>
    </w:p>
    <w:p>
      <w:pPr>
        <w:pStyle w:val="Heading2"/>
      </w:pPr>
      <w:r>
        <w:t>2. Ernst Hedenstierna (Nationella framstegspartiet, man)</w:t>
      </w:r>
    </w:p>
    <w:p>
      <w:r>
        <w:rPr>
          <w:b w:val="0"/>
        </w:rPr>
        <w:t xml:space="preserve">Ja, mina herrar, det är ytterst sällan utskottet avstyrker en pension, som blivit tillstyrkt av alla myndigheter, men i detta fall lämnades i utskottet sådana upplysningar angående de ekonomiska förhållanden, som äga rum inom denna familj, att utskottet ansåg sig icke kunna tillstyrka framställningen. Det är ju mycket tråkigt att i ett sådant här fall gå in på enskilda personers ekonomiska förhållanden, men det meddelades i utskottet, att den nu ifrågavarande </w:t>
      </w:r>
      <w:r>
        <w:rPr>
          <w:b/>
        </w:rPr>
        <w:t>änkan²</w:t>
      </w:r>
      <w:r>
        <w:rPr>
          <w:b w:val="0"/>
        </w:rPr>
        <w:t>, som själv har en förmögenhet av mellan 20- och 30,000 kronor, har endast två barn, som bägge sitta i synnerligen goda ekonomiska omständigheter. Vid sådant förhållande, och då det i detta fall icke gäller en pension, utan ett understöd, ansåg sig utskottet icke kunna tillstyrka riksdagen att bevilja det begärda bidraget. För min del kan jag icke annat än ställa mig på utskottets sida och ber att få yrka bifall till utskottets hemställan.</w:t>
        <w:br/>
        <w:br/>
        <w:t>Herr Rosén: Utskottet har avstyrkt de båda föreliggande motionerna med hänvisning till att särskilda sakkunniga utsetts för att utreda åtskilliga frågor, som beröra jakt och fiske, bl. a. även frågan om upphävande av saxförbudet. Dessa sakkunniga tillsattes redan år 1915. Även i fjol gjorde utskottet samma hänvisning till dessa sakkunniga och uttalade den förhoppningen att de snart skulle inkomma med förslag i ämnet och det ansågs att riksdagen i avvaktan härpå icke borde vidtaga någon ändring av gällande bestämmelser.</w:t>
        <w:br/>
        <w:br/>
        <w:t>Då riksdagen beslöt införande av saxförbudet, fattades detta beslut utan någon som helst föregående utredning, endast på grund av en motion. Detta förbud har visat sig medföra mycket svåra olägenheter, och rovdjuren hava åtminstone i Norrland ökats högst avsevärt i antal. Jag läste för ett par dagar sedan i en tidning från Västerbottens län ett uttalande av tillförordnade överjägmästaren i Umeå revir, däruti han gäger att »vargen är i ständig ökning och för närvarande går den så långt söder ut som in i Bjurholms socken», d. v. s. nära kusten av Västerbottens län. »Räven har påtagligt ökat år efter år», fortsätter överjägmästaren, »särskilt sedan saxförbudet upphävdes. Från djurskyddshåll göres visserligen gällande, att saxfångsten är ett. ohyggligt djurplågeri. I viss mån kan nog detta också vara sant men tar man å andra sidan i betraktande de lidanden, som räven åsamkar andra djurarter, förefaller ett medlidande i detta fallet lindrigt sagt malplacerat.» Jag tror att han härutinnan har rätt. Beträffade vargen påstås att saxförbudet även i det fallet inverkat menligt. Det har gått därhän, att lappfogden i Västerbottens län i dessa dagar annonserat i tidningarna, att lapparna i fyra lappbyar inom länet beslutat utbetala extra premier för dödande av varg. Två lappbyar Vilhelmina norra lappby och Vilhelmina södra lappby, betala icke mindre än 500 kronor per varg i skottpengar såsom extra premie. Dessutom tillkommer av allmänna medel 50 kronor. Lapparna betala alltså tio gånger så mycket för varje dödad varg som staten betalar i skottpengar. Inom tvenne andra lappbyar betalas resp. 200 och 250 kronor i extra premie för varje dödad varg. Lappfogden tillägger upplysningsvis, att de nämnda kassorna uppgå till mellan 2,000 och 10,000 kr. vardera, d. v. s. utbetalande av några sådana extra premier skulle alldeles länsa dessa kassor. Det är aldeles självklart att om det fortsätter på detta sätt och rovdjursstammen ökas, måste kraftiga åtgärder vidtagas från statens sida. Bland annat måste nog premierna av allmänna medel högst avsevärt höjas.</w:t>
        <w:br/>
        <w:br/>
        <w:t>Jag beklagar, att den utredning, som pågått sedan 1915, ännu icke blivit slutförd. Av berättelsen om vad i rikets styrelse sig tilldragit ser man, beträffande dessa sakkunniga, att en av ledamöterna varit förhindrad på grund av annat uppdrag och att följaktligen under året intet arbete av dessa sakkunniga kunnat utföras. Jag skulle alltså helst velat yrka återremiss av frågan, för att utskottet skulle taga densamma under förnyad omprövning. Jag anser att när Kungl.</w:t>
        <w:br/>
        <w:br/>
        <w:t>Maj:t och riksdag kunde utan vidare utredning införa saxförbudet, borde detsamma även kunna upphävas utan en vidlyftigare utredning, allra helst som det blivit styrkt att upphävandet är synnerligen välbehövligt. Jag antager, att jag likväl icke har utsikt att vinna gehör för ett sådant yrkande, och skall därför inskränka mig till att uttala den förhoppningen, att jordbruksministern måtte försöka i största möjliga mån påskynda detta utredningsarbete.</w:t>
        <w:br/>
        <w:br/>
        <w:t>äga rum, må densamma ej bifallas. — Rätt till detaljhandel må icke inom något län upplåtas till större antal bolag än som motsvarar ett bolag för varje påbörjat femtiotusental av länets folkmängd vid utgången av året före det, under vilket ansökan om dylik rätt senast bort ingivas; dock att sådan rätt i varje fall må kunna meddelas bolag till samma antal, som under år 1918 inom länet utövat rättigheter till detaljhandel med brännvin. Medgiver Konungens befallniugshavande upplåtande av rätt till detaljhandel, må försäljningsställenas antal ej sättas högre än det av stadsfullmäktige eller kommunalstämman tillstyrkta. Konungens befallningshavande skall därjämte vid upplåtelsen föreskriva de inskränkningar med hänsyn till försäljningsställenas förläggning och rörelsens bedrivande, som blivit av stadsfullmäktige eller kommunal:tämman föreslagna, såvida beslutet om samma inskränkningar icke finnes stå i strid med allmän lag eller författning eller annorledes överskrida deras befogenhet, som fattat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