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1423</w:t>
      </w:r>
    </w:p>
    <w:p>
      <w:r>
        <w:rPr>
          <w:b/>
        </w:rPr>
        <w:t xml:space="preserve">Datum: </w:t>
      </w:r>
      <w:r>
        <w:t>1919-03-18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mina herrar! Utskottet har i detta utlåtande hemställt, att den av mig väckta motionen icke måtte till någon andra kammarens åtgärd föranleda. Jag anser för min del, att de skäl och motiv, som åberopats till stöd för denna hemställan, icke äro av den betydelse, som utskottet vill göra gällande. Utskottet har framhållit, att en av första lagutskottet med anledning av en annan motion föreslagen utredning om dödsstraffets borttagande m. m. genom första kammarens beslut i ämnet icke vunnit riksdagens bifall, och fortsätter sedan: »Då sålunda frågan om dödsstraffets avskaffande icke blivit för svensk del avgjord, torde svenskt initiativ till andra makter i denna sak icke kunna komma i fråga.»</w:t>
        <w:br/>
        <w:br/>
        <w:t>Jag anser, att just det, som här framhållits såsom ett motiv för ett avslagsyrkande, motiverar en motsatt uppfattning. Vi ha så mycket större anledning — andra kammaren åtminstone för sin del — att bibehålla de gamla traditioner, som vi i detta fall tidigare följt i fråga om dödstraffets lämplighet eller icke lämplighet. Vad beträffar den omständigheten, att det icke skulle vara juste att göra en dylik hänvändelse till ett internationellt forum, bara därför att första kammaren avslagit ett framkommet förslag om dödsstraffets avskaffande eller att vi icke här i landet skulle ha några motsvaroade förutsättningar, så vill jag erinra om föregående parallellfall. Det brukar väl i regel vara så, att, då man hänvänder sig till ett dylikt internationellt forum, så är det väl därför, att de missförhållanden, som råda inom deb egna landet i ett visst avseende, icke kunna på annat sätt avlägsnas. Man sätter sig icke då som någon mästare över andra, utan tvärtom. Jag erinrar mig just nu från dagspressen en notis om, att från engelsk sida initiativ tagits till vissa arbetarskyddsfrågor, och det har framställts krav genom enskilt initiativ från samma håll att få dem beaktade vid de förestående fredsförhandlingarna. Och jag tar alldeles för givet, att de krav, som där framförts, komma att vinna deb beaktande, som initiativtagarna för sin del ansett sig kunna förutsätta.</w:t>
        <w:br/>
        <w:br/>
        <w:t xml:space="preserve">Även riksdagens andra kammare, som naturligtvis bör fatta alla sina beslut utan sidoinflytelser från vad första kammaren beslutar eller från vad som här i landet är kutym, har i ett parallellfall från 1914 års B-riksdag beslutat i en annan fråga — det gällde då </w:t>
      </w:r>
      <w:r>
        <w:rPr>
          <w:b/>
        </w:rPr>
        <w:t>kvinnornas¹</w:t>
      </w:r>
      <w:r>
        <w:rPr>
          <w:b w:val="0"/>
        </w:rPr>
        <w:t xml:space="preserve"> nattarbete — att göra en dylik internationell hänvändelse, oaktat vi naturligtvis här i landet icke hade någon sådan lag mot Fr ornas nattarbete, utan tvärtom icke lyckats genomdriva en dylik.</w:t>
        <w:br/>
        <w:br/>
        <w:t>Det är nu ett tillfälle, som jag för min del tror aldrig återkommer, ett tillfälle, då det helt enkelt är vår plikt att göra de insatser, som vi kunna göra för en mera mänsklig syn på tingen, för att det mänskliga livet åtminstone skall bli erkänt som det högsta. Då andra kammaren tre gånger förut har bifallit ett förslag om, att ifrågavarande straffart bör ur svensk strafflag bortfalla, och senast för åtta dagar sedan utan votering biföll första lagutskottets förslag i sådant</w:t>
        <w:br/>
        <w:br/>
        <w:t>avseende, så kan jag icke finna någon anledning, varför kammaren ÅAng. inter-</w:t>
        <w:br/>
        <w:br/>
        <w:t>icke nu skall avgiva åtminstone en opinionsyttring genom att för NERE</w:t>
        <w:br/>
        <w:br/>
        <w:t>sin del bifalla motionen. rörande lvete Jag yrkar alltså bifall till motionen och avslag på utskottets okränkbarhet.</w:t>
      </w:r>
    </w:p>
    <w:p>
      <w:pPr>
        <w:pStyle w:val="Heading2"/>
      </w:pPr>
      <w:r>
        <w:t>2. Ivar Swartling (Lantmannapartiet, man)</w:t>
      </w:r>
    </w:p>
    <w:p>
      <w:r>
        <w:rPr>
          <w:b w:val="0"/>
        </w:rPr>
        <w:t>Herr talman, mina herrar! Den föreliggande motionen avser icke, såsom man skulle ha anledning sluta sig till den siste ärade talarens anförande, någon fråga om dödsstraffets avskaffande eller icke. Den innefattar fastmer en enkel framställning om, att svenska regeringen måtte ta initiativ till en internationell överenskommelse rörande dödsstraffets avskaffande eller rättare sagt rörande fastslående av livets okränkbarhet såsom grundval för en mänsklig samhällsordning samt såsom ett uttryck därför dödsstraffets utplånande ur staternas strafflagstiftning.</w:t>
        <w:br/>
        <w:br/>
        <w:t>Utskottet har, såsom ock framgår av dess korta utlåtande, icke på något sätt inlåtit sig på frågan om dödsstraffets vara eller icke vara. Utskottet har icke haft någon anledning att göra det. Det har endast fäst sig vid, vad som själva motionen innefattar. I den vägen har utskottet, såsom också här synes, framfört två motiv, varför det ansett, att motionen icke måtte föranleda någon kammarens åtgärd.</w:t>
        <w:br/>
        <w:br/>
        <w:t>Det första motivet är, såsom synes, att man anser, och det förefaller mig med full rätt, att man icke bör inbjuda till förhandling om fastslående av en sak, i fråga om vilken man själv icke ännu intagit någon bestämd ståndpunkt eller bildat sig en bestämd uppfattning. Det påpekas i detta hänseende av den siste ärade talaren, att det vore inkonsekvent, att man ställde sig på den ståndpunkten, då man ju förut i fråga om andra saker tagit initiativ, utan att först ha sin egen ställning klar. Jag vet nu icke, hur det förhåller sig härmed och har icke varit i tillfälle att konstatera riktigheten av talarens påstående i detta avseende. Jag vill emellertid påpeka, att det härvidlag är en högst väsentlig skillnad, om, såsom han nämnde, det tages ett enskilt initiativ i en viss fråga; något sådant kan naturligtvis alltid göras, och det får den enskilde stå för. Men här är fråga om ett officiellt ingripande från svenska regeringens sida, och jag föreställer mig, att man då har större pretentioner;, på, att man skall veta, vad man gör. Detta är alltså första motivet för ett avstyrkande av motionen, och det synes mig bärande.</w:t>
        <w:br/>
        <w:br/>
        <w:t>Sedan har utskottet också påpekat, att en framställning till förmån för motionärernas principiella yrkande nu icke skulle ha någon större utsikt att leda till någon praktisk påföljd, och det är naturligtvis ytterligare ett skäl att icke tillstyrka en åtgärd såsom den här föreslagna.</w:t>
        <w:br/>
        <w:br/>
        <w:t>Jag ber, herr talman, att med dessa korta ord få yrka bifall till utskottets hemställan.</w:t>
      </w:r>
    </w:p>
    <w:p>
      <w:pPr>
        <w:pStyle w:val="Heading2"/>
      </w:pPr>
      <w:r>
        <w:t>3. Alfred Werner (Socialdemokratiska vänstergruppen, man)</w:t>
      </w:r>
    </w:p>
    <w:p>
      <w:r>
        <w:rPr>
          <w:b w:val="0"/>
        </w:rPr>
        <w:t>Herr talman! Det är alldeles riktiot naturligtvis, som herr Swartling säger, att här avses en framställning till regeringen angående svenskt initiativ i denna fråga. Men det är helt</w:t>
        <w:br/>
        <w:br/>
        <w:t xml:space="preserve">naturligt, att den fråga, det här gäller, färgar framställningars art. Det var icke så, jag yttrade, att det endast varit på enskilt initiativ, som framställningen gjorts av sådant slag, som det här gäller. Vid B-riksdagen 1914 beslöt andra kammaren i ett fall, som läg absolut liknande detta och där första kammaren avslagit en hemställan om initiativ angående en internationell överenskommelse om nattarbete för </w:t>
      </w:r>
      <w:r>
        <w:rPr>
          <w:b/>
        </w:rPr>
        <w:t>kvinnor¹</w:t>
      </w:r>
      <w:r>
        <w:rPr>
          <w:b w:val="0"/>
        </w:rPr>
        <w:t>, att trots detta för sin del göra en dylik hemställan, och året dänpå, 1915, blev ju också skrivelseförslag i ämnet från båda kamrarna avlåtet till regeringen. Vi ha följaktligen tradition för, att andra kammaren visat sig kunna fatta sina beslut oberoende av de förutsättningar, på vilka utskottet här bygger sitt utlåtande. Det visade sig då även, att i första kammaren finnes en tämligen avsevärd minoritet, som anser, att ett dylikt ingripande eller initiativ från svensk sida kan och bör tagas. Det väcktes en liknande motion av herr Lindhagen i första kammaren för några dagar sedan angående vissa kravs framställande vid förestående internationella uppgörelser; det gällde då ett absolut liknande fall, där det dock i första kammaren blev en avsevärd minoritet på 23 röster gent emot de 54, varmed motionen avslogs. Jag är fullt övertygad om, ati dessa 23 minoritetsröster i första kammaren representerade just den folkliga sidan av saken, som dock i andra kammaren åtminstone borde ha sitt hemvist. och jag hoppas också, att den har det.</w:t>
        <w:br/>
        <w:br/>
        <w:t>Med hänsyn härtill skall jag fortfarande yrka bifall till motionen. Det kan från vår sida icke bli något annat än en opinionsyttring och beaktas av den delegation, som vi sent omsider har fått vid fredsuppgörelsen, och en dylik opinionsyttring från andra kammaren anser jag helt enkelt vara vår plikt och skyldighet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