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334</w:t>
      </w:r>
    </w:p>
    <w:p>
      <w:r>
        <w:rPr>
          <w:b/>
        </w:rPr>
        <w:t xml:space="preserve">Datum: </w:t>
      </w:r>
      <w:r>
        <w:t>1919-05-03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Wilhelm Gullberg (Liberala samlingspartiet, man)</w:t>
      </w:r>
    </w:p>
    <w:p>
      <w:r>
        <w:rPr>
          <w:b w:val="0"/>
        </w:rPr>
        <w:t xml:space="preserve">Jag är övertygad om, att den ärade motionären menat mycket väl med sin motion. Det är ett faktum, att på det kyrkliga området kunde behövas en uppryckning och en gammanslutning. Det är visserligen sant, att i Stockholm och Göteborg och i allmänhet i städerna det kyrkliga intresset och den kyrkliga livaktigheten är stor, men det är också sant, att mångenstädes ute på landsbygden kyrkorna tyvärr äro ganska tomma. Därför har motionären tänkt sig en uppryckning och en utveckling av det kyrkliga livet och han har sett sig omkring för att finna, varifrån kyrkan skulle kunna få hjälp härtill, och så har han kommit fram med förslagen i sin motion. Då han hade skrivit den, läste han upp den för mig och önskade, att jag skulle underteckna den. Jag har nu en något annan uppfattning än den han i motiveringen framställt och det gjorde, att jag ej kunde gå med honom och underteckna motionen i fråga. Han anser nämligen, att om bandet mellan staten och kyrkan bruste, så skulle en ny hednatid komma och det skulle bli mycket större okristlighet i landet än det nu är. Det är ej min uppfattning. Jag tror, att den lutherska kyrkan såsom frikyrka skulle kunna fylla en god kristen mission i vårt land, och det på ett mycket bältre sätt än då </w:t>
      </w:r>
      <w:r>
        <w:rPr>
          <w:b/>
        </w:rPr>
        <w:t>hon²</w:t>
      </w:r>
      <w:r>
        <w:rPr>
          <w:b w:val="0"/>
        </w:rPr>
        <w:t xml:space="preserve"> är sammanbunden med staten. Då lutherska kyrkan blir en verklig frikyrka, så ordnar </w:t>
      </w:r>
      <w:r>
        <w:rPr>
          <w:b/>
        </w:rPr>
        <w:t>hon²</w:t>
      </w:r>
      <w:r>
        <w:rPr>
          <w:b w:val="0"/>
        </w:rPr>
        <w:t xml:space="preserve"> för sig på bästa sätt, och då komma troligen att inlemmas i </w:t>
      </w:r>
      <w:r>
        <w:rPr>
          <w:b/>
        </w:rPr>
        <w:t>henne²</w:t>
      </w:r>
      <w:r>
        <w:rPr>
          <w:b w:val="0"/>
        </w:rPr>
        <w:t xml:space="preserve"> dessa stora frikyrkoriktningar, som i stort sett ha luthersk tro och luthersk uppfattning. Men om den lutherska kyrkan alltfort skall vara statskyrka, så kan man icke genom lagstiftning åstadkomma en enhet i arbetet på detta område.</w:t>
        <w:br/>
        <w:br/>
        <w:t>Jag tror, att det i afton har talats liksom på tvenne olika språk i denna kammare. Här har herr Ekman, herr Klefbeck, biskop Bergqvist och den ärade utskottsordföranden talat om den lekmannaverksamhet, som redan nu pågår inom kyrkan genom diakonistyrelsen, fosterlandstiftelsen och andra kyrkliga organ. Allt detta är Ju fakta, som vi också känna till; men bredvid denna mångenstädes storartade lekmannaverksamhet finnes en annan avsevärd kristlig verksamhet. Jag menar den frikyrkliga rörelsen. Det är den frikyrkliga rörelse, som bygger på luthersk grund, som kunde bli till så stor välsignelse för det kyrkliga livet i landet, om den komme in i kyrkan, men jag tror, att det numera icke är möjligt. Det hade varit möjligt för 30 eller 40 år sedan, innan den var så väl organiserad som den nu är, och då ville den samförstånd och samarbete. Om då kyrkan hade känt sin tid, hade mycket varit annorlunda än det nu är. Danmarks präster togo hand om de andliga livsrörelser-</w:t>
        <w:br/>
        <w:br/>
        <w:t>na och behöllo dem inom kyrkans hägn, men Sveriges präster ställde sig mångenstädes oförstående för att icke säga fientliga till dess: rörelser. Därigenom förlorades de för kyrkan. Och att nu vinn: dem tillbaka är inte lätt. Det är sant vad en gammal dansk präst en gång sade till mig, då vi samtalade om de kyrkliga förhållandena i Sverige och Danmark: Sverige har fått på grund av prästerna: omedgörlighet och fiendskap en hel mängd sekter och sektbildningar, som vi i Danmark ha undsluppit. Det är ock såsom en av de frikyrkliga predikanterna sade i Svenska Morgonbladet i den enquéte, som herr Boberg nämnde om: det är för sent, som detta förslag kommit. För 30—40 år sedan hade det kanske varit möjligt att genom lekmännens hjälp få till stånd, vad motionären önskar.</w:t>
        <w:br/>
        <w:br/>
        <w:t>Jag är icke rädd för kristendomens framtid i vårt land, även om sambandet mellan staten och kyrkan brister. Jag tror, att det rent av genom det kunde bliva en renässans för kristendomslivet här i landet. Då finge kyrkan rätt och makt att avskilja från prc dikoverksamheten sådana, som äro ovärdiga att sköta det ämbetet, och redan därigenom skulle den bli i stånd att på ett annat och bättre sätt fylla sin kallelse och uppgift. Att denna frihet icke skulle föra med sig okyrklighet och hedendom, som motionären befarar, det visar bl. a. exemplet från Amerika till fullo.</w:t>
        <w:br/>
        <w:br/>
        <w:t>Jag tror således inte på, att det, som det nu är, är möjligt att åstadkomma de frikyrkliga rörelsernas inlemmande i kyrkan och framför allt tror jag icke på att ett riksdagens beslut kan föra det med sig. Jag ekulle ha önskat, att motionen lagts på en mycket v' dare basis, att det tagits upp hela detta stora kyrkoproblem, och att man från grunden gått in på en undersökning av vad som är att göra. Jag tror, att diakonistyrelsen gör vad den kan. Jag tror, att svenska kyrkans lekmannaförbund kan bliva till rätt så stor välsignelse. Jag tror, att kyrkan kan få ganska många lekmän med i sin verksamhet. Men för att få med de stora frikyrkliga organisationerna, som bygga på samma kristna tro och uppfattning som den lutherska kyrkan, därtill erfordras att förbindelsen mellan staten och kyrkan upphäves och att kyrkan varder fri att ordna och ställa med sina egna angelägenheter.</w:t>
        <w:br/>
        <w:br/>
        <w:t>Alltså kan jag för min del, såsom motionen är lagd, icke annat än yrka bifall till reservationen. Motionen är av samma innehåll, som den vilken väcktes i andra kammaren av herr Räf. Där blev den avstyrkt av utskottet, och motionären själv vttrade, att han var nöjd med, att utskottet i motiveringen framhållit, att det fanns möjlighet att åstadkomma utan någon skrivelse till Konungen, det viktigaste av vad i motionen åsyftats. Såsom en gammal erfaren man på detta område visste han, att det mångenstädes från prästerligt håll rests motstånd emot kyrkornas öppnande för lekmannapredikanter, särskilt när de varit av frikyrklig läggning. Han berättade för mig, när vi reste upp hit från påskferierna, att lektor Waldenström en gång fick uppträda i en kyrka. Kyrkoherden tillät det, så tolerant var han, men sedan fick han en anmärkning härför av biskopen.</w:t>
        <w:br/>
        <w:br/>
        <w:t>Sådant har skett på flera ställen i vårt land, så att det kunde verkligen behövas en sådan här uppklaring, och nu bör det vara tydlig att prästen har rätt att öppna sin kyrka för lekmän och använda dem till hjälp i sin verksamhet, och då har ju ändå något vunnits med denna motion. Jag yrkar bifall till reservationen, ty den uttrycker och pekar på de svårigheter som i övrigt skulle följa med ett bifall till densamma.</w:t>
      </w:r>
    </w:p>
    <w:p>
      <w:pPr>
        <w:pStyle w:val="Heading2"/>
      </w:pPr>
      <w:r>
        <w:t>2. Carl Boberg (Första kammarens nationella parti, man)</w:t>
      </w:r>
    </w:p>
    <w:p>
      <w:r>
        <w:rPr>
          <w:b w:val="0"/>
        </w:rPr>
        <w:t>Jag ber om ursäkt, att iag upptager kammarens tid ännu ett par minuter. Jag måste det på grund av ett par ord av min ärade vän herr Gullberg, som meddelade kammaren, att vi tänkt samarbeta, men därvid icke var så fullständig i sin redogörelse. som han hade bort vara. Det var verkligen meningen, att vi skulle gå tillsammans med denna motion och att den skulle omfatta förslag om utredning av förhållandena och samarbetet mellan kyrkan och de frikyrkliga. Men när jag för herr Gullberg uppläste vad jag skrivit, ansåg han, att det icke förelåg någon fara, om statskyrkan avskaffades, eller att sådana fölider, som iag befarade skulle uppkomma; därför var han obenägen att skriva under. Då föreslog iag, att herr Gullberg skulle gå fram med en särskild motion, som omfattade det andra. så kunde dessa båda motioner sedan gå till samma utskott och behandlas på en gång. Av denna anledning var det, som iag icke vidrörde annat än i förbigående dessa saker, det iag annars skulle ha gjort. I min motion aluderar jag visserligen därpå, men ingenting mera.</w:t>
        <w:br/>
        <w:br/>
        <w:t>Vidare tillskriver herr Gullberg mig motiv, som jag aldrig haft och aldrig tänkt eller drömt om. Jag tror verkligen, att jag är mera frikyrklig, än mången tror; men jag är också mera humanist än mången tror. Ty fastän iag tillhör en frireligiös organisation. kan jag se vänligt på statskyrkan. Och när jag ser många statskyrkor stå tomma och tänker på till vilken nytta de kunde vara för folket, så griper det mig i hiärtat. Jag önskade då ett bättre och rikare andligt liv inom statskyrkan, än vad det för närvarande på många platser är. Nu är en hel del av de frikyrkliga obenägen att bidraga till detta, antagligen av den anledningen, att det skulle vara försvagande på den frikyrkliga verksamheten inom församlingarna. Det tror nu icke jag. Jag visste mycket väl, att när iag gick fram med denna motion, jag utsatte mig för missförstånd från två håll. De mycket statskyrkliga skulle anse, att iag ville intränga lekmännen som en kil i statskyrkan och därmed försvaga prästernas ställning och auktoritet. Det är icke min mening. De mycket frikyrkliga tänkte: nu vill Boberg draga in hela den frikyrkliga rörelsen i statskyrkan och låta den hamna i dess sköte. Jag har icke åsyftat vare sig det ena eller det andra av detta, har icke tänkt varken frikyrkligt eller statskyrkligt utan kristligt. Jag tror f. ö., att ett rikare liv inom statskyrkan alldeles icke skulle försvaga de mer fria andliga organisat'onerna i landet utan tvärtom stärka dem. Är det en frisk och kraftig stam, så bliva också grenarna kraftiga och skjuta rikare ut.</w:t>
        <w:br/>
        <w:br/>
        <w:t>Nu sade herr Gullberg, att det utan fara går an att avskaffa</w:t>
        <w:br/>
        <w:br/>
        <w:t>statskyrkan. Det ser man i Amerika. Jag undrar, om det verkligen är så många, som se så långt, att de se, hur förhåliandena äro där. Jag skall uppläsa en liten statistik, som jag erhållit, utvisande huru förhållandena äro i Amerika, vilket jag eliest icke hade tänkt att göra.</w:t>
        <w:br/>
        <w:br/>
        <w:t xml:space="preserve">Amerika är mycket splittrat i andligt avseende. Metodisterna bestå av 16 grupper och uppgå till omkring siu miljoner. Baptisterna bestå av femton grupper och uppgå till 5,894,000. Lutheranerna bestå av 18 grupper och uppgå till 2,354,000. Presbyterianerna uppgå till 1,982,000. Episkopalkyrkans anhängare äro 970,000. Men vilken kyrka är det som är störst i Amerika och som vunnit det mesta inflytandet bland alla dessa sekter och kyrkor? Jo, den katolska kyrkan. Hur många medlemmar omfattar </w:t>
      </w:r>
      <w:r>
        <w:rPr>
          <w:b/>
        </w:rPr>
        <w:t>hon²</w:t>
      </w:r>
      <w:r>
        <w:rPr>
          <w:b w:val="0"/>
        </w:rPr>
        <w:t xml:space="preserve">? </w:t>
      </w:r>
      <w:r>
        <w:rPr>
          <w:b/>
        </w:rPr>
        <w:t>Hon²</w:t>
      </w:r>
      <w:r>
        <w:rPr>
          <w:b w:val="0"/>
        </w:rPr>
        <w:t xml:space="preserve"> omfattar 15 miljoner, och när jag nu talar detta, räknar </w:t>
      </w:r>
      <w:r>
        <w:rPr>
          <w:b/>
        </w:rPr>
        <w:t>hon²</w:t>
      </w:r>
      <w:r>
        <w:rPr>
          <w:b w:val="0"/>
        </w:rPr>
        <w:t xml:space="preserve"> måhända 16 miljoner, ty denna statistik är några år gammal. Den katolska kyrkan vinner oerhört inflytande i Amerika. Den har redan nu 14 ärkebiskopar och 97 biskopar. Men hur många äro medlemmarna i alla dessa olika kristliga sammanslutningar i förhållande till dem, som stå utanför alla kyrkliga organisationer? De förra utgöra bortåt 40 milioner, men bortåt 55 miljoner stå ju då utanför allt vad kyrka heter. Sådana äro förhållandena i Amerika, att döma av statistiken. Då man ser förhållandena på avstånd, kan man tro, att de äro märkvärdigare, än de äro. Jag är också alldeles viss på, att om statskyrkan komme att avskaffas såsom kyrka här i landet, komme detta att ha en skadlig inverkan på även de frireligiösa samfunden. Nu vill jag också säga, att jag visserligen är vän till frikyrkan, men jag är icke med om att upprätta en formlig frikyrka med ett nytt prästerskap. Man ser huru obenäget det gamla prästerskapet varit att upptaga lekmännen som medhjälpare. Det prästerskap, som skulle uppkomma inom frikyrkan skulle med tiden säkert bli lika obenäget, samt därtill sakna det gamla prästerskapets humanistiska bildning. Jag är icke rädd för att säga, att iag tror att detta nya prästerskap icke alls — längre fram— skulle bliva trevligare att ha att göra med än statskyrkans. Jag står nämligen på sådan grund, att iag kan säga vad jag tänker åt båda hållen.</w:t>
        <w:br/>
        <w:br/>
        <w:t>I andra kammaren framhölls mot motionen, att statskyrkan måhända komme att avskaffas; detta var egentligen huvudmotivet för avslaget. Ja, tänker man på, att statskyrkan snart skall avskaffas. då är det ingenting att göra åt saken; då bör man avslå motionen, som avser en skrivelse och icke innehåller begäran om något lagförslag i ämnet. Det skulle väl icke vara farligt, om en skrivelse om undersökning komme till stånd, som bl. a. avsåge att utreda, om ett närmande kunde ske mellan frikyrka och statskyrka för att stärka de andliva intressena i en tid då upplösningens makter tränga på med så våldsam kraft som de nu göra.</w:t>
        <w:br/>
        <w:br/>
        <w:t>Herr greve och talman! Jag skall icke trötta kammaren längre, utan ber att få sluta med att vidhålla mitt yrkande.</w:t>
        <w:br/>
        <w:br/>
        <w:t>komma honom, därest han vid avskedet innehaft nämnda lägre tjänstegrad.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