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1445</w:t>
      </w:r>
    </w:p>
    <w:p>
      <w:r>
        <w:rPr>
          <w:b/>
        </w:rPr>
        <w:t xml:space="preserve">Datum: </w:t>
      </w:r>
      <w:r>
        <w:t>1919-05-26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Anton Wikström (Folkpartiet, man)</w:t>
      </w:r>
    </w:p>
    <w:p>
      <w:r>
        <w:rPr>
          <w:b w:val="0"/>
        </w:rPr>
        <w:t>Herr talman! Jag tillhör den majoritet inom utskottet, som har yrkat avslag, och jag skall be att få giva tillkänna skälen härför.</w:t>
        <w:br/>
        <w:br/>
        <w:t>Det viktigaste skälet var det, som den föregående talaren angav, nämligen att kontrollen över denna lags tillämpning måste bli till ytterlighet svår, och beträffande införsel och underhandsförsäljning fullständigt omöjlig. Detta gäller Kungl. Mai:ts förslag, och det gäller i ännu högre grad reservanternas reviderade och förbättrade upplaga av lagförslaget. Herr Röing försökte ju med den argumenteringen, att om man icke skulle kunna taga andra lagar än dem, beträffande vilka kontrollen kunde bli fullständigt effektiv, skulle det bli omöjligt med de flesta lagar. Det erkännes, men det är i alla fall en väsentlig skillnad mellan å ena sidan sådana lagar, där kontrollen kan omfatta det väsentligaste i lagen och där överträdelser av lagen bli endast undantag, och å andra sidan sådana lagar, beträffande vilka rean på förhand måste inse, att en mycket stor del av vad lagen skulle träffa går utanför. Man får ju antaga, att de yrkesmän och handelsidkare, som speciellt driva affärer med sådana saker, komma att foga sig i lagen och efterleva den. Men det har upplysts, att en mycket stor del av handeln med dessa varor går utanför de regelrätta yrkesmännens och handelsidkarnas krets, och att det icke minst är utlänningar, vilka vistas inom riket, som syssla med sådana affärer. Beträffande denna utanför den yrkesmässiga verksamheten gående handel har man ingenting annat att lita till än vederbörandes pliktkänsla. Jag und-</w:t>
        <w:br/>
        <w:br/>
        <w:t>rar emellertid, om man med kristidens erfarenheter för ögonen gör klokt uti att draga så synnerligen stora växlar på pliktkänslan. Är det icke i stället sannolikt, att just denna handel kommer att i stor utsträckning omhändertagas av dem, som visat sig vara 1 saknad av just denna pliktkänsla?</w:t>
        <w:br/>
        <w:br/>
        <w:t>Den andra stora anmärkning, som göres, är den, att denna</w:t>
        <w:br/>
        <w:br/>
        <w:t>. skatt skulle inbringa så obetydligt. Man kan ju ibland få taga en del skatter, som äro behäftade med en hel mängd brister. Detta gäller bland annat krigskonjunkturskatten, vilken, såsom ju alla känna till, är synnerligen orättvis och otrevlig och blir det allt mer och mer för varje år som går. Men det är dock så med denna skatt, att den inbringar väldiga summor, som staten absolut behöver. I nu förevarande fall spelar inkomstsumman ur budgetsynpunkt däremot ingen som helst roll. I Danmark, där skatten har tillämpats under det år, som gått, har den från april 1918 till mars 1919 inbringat 352,000 kronor, ett belopp, som man kan antaga kommer att väsentligt gå ned, i mån som det inträder lågkonjunkturer i stället för den högkonjunktur, som förut rått. Om man då tänker på att för kontrollen här skulle upprättas ett nät av tillsyningsmän över hela landet, och man vidare tager i betraktande, att de legitima affärsmännen på detta område komma att se sina inkomster i hög grad minskade och följaktligen även den från dem uppburna skatten kommer att minskas, kan det verkligen sättas i fråga, om det bleve vinst eller förlust på hela denna skattehistoria. TI varje fall skulle nettoinkomsten bli ytterst obetydlig.</w:t>
        <w:br/>
        <w:br/>
        <w:t>Det angives nu i reservationen såsom ett skäl, som skulle tala för förslagets antagande, att det skulle bli ett provisorium. Mig förefaller det vara tvärtom. Det förefaller mig rätt orimligt att anordna hela den apparat, som fordras för kontroll över en sådan lag, om den skulle avses att gälla blott för en tid av 17"/. år eller något sådant. Motsvarande danska och norska lagar äro ju också i gällande kraft endast till år 1920, och det är väl icke otroligt med hänsyn till de obetydliga belopp, som dessa skatter inbringat, att de icke komma att förnyas.</w:t>
        <w:br/>
        <w:br/>
        <w:t xml:space="preserve">Detta är nu huvudskälen. Det finns emellertid en hel del detaljer att anmärka på dessutom. Definitionen på vad lagen skulle avse är skäligen oklar även den. Förutom att vad som är att hänföra till äkta pärlor redan det lär kunna bli föremål för olika uppfattningar, gäller detta i synnerligen hög grad om vad som skall innefattas under begreppet »smycken». En guldeller silverbeklädd </w:t>
      </w:r>
      <w:r>
        <w:rPr>
          <w:b/>
        </w:rPr>
        <w:t>fruntimmershandväska²</w:t>
      </w:r>
      <w:r>
        <w:rPr>
          <w:b w:val="0"/>
        </w:rPr>
        <w:t xml:space="preserve"> till exempel, en finare portmonnä, belagd med dessa ädla metaller, ett utsmyckat cigarreller cigarrettetui 0. s. v., vilken kan avgöra, om dessa saker skola räknas till smycken? Den fackman, som stått till utskottets förfogande, och vilken för övrigt är densamma som skrivit denna lag, förklarade, att det är omöjligt att avgöra, vad som skall i dylika fall räknas till smycken eller icke smycken. Jag frågar då: när »de som lagen gjorde» icke själva kunna avgöra detta, vem skall då kunna avgöra det? Kan man ställa den fordran på åklagare och domstolar, att de skola bättre</w:t>
        <w:br/>
        <w:br/>
        <w:t>förstå att bedöma, vad som är att hänföra till begreppet »smycken»? I varje fall kommer det utan tvivel att bli synnerligen godtyckligt.</w:t>
        <w:br/>
        <w:br/>
        <w:t>För min personliga del har jag ett litet horn i sidan till en 'annan föreskrift, som finnes här i $ 19, där bestämmelsen om bötesandel åt åklagaren fortfarande släpar med. Jag vill i förbigående erinra om att det är åtskillig tid sedan riksdagen skrev och begärde en utredning, som skulle avse bortrensandet ur våra lagar av bestämmelser om bötesandelar åt åklagarna, utom beträffande rena undantag. För min del skulle jag finna det betydligt tacknämligare, om vi snarast finge en sådan utredning och därpå grundat rörslag framlagt, än att oupphörligt få nya lagförslag framlagda, där detta förhatliga subsidiesystem allt fortfarande är knäsatt.</w:t>
        <w:br/>
        <w:br/>
        <w:t>Jag skulle också för min personliga del vilja göra en rent principiell anmärkning mot en annan sida av denna lag, som gjort den för mig motbjudande. Jag har den uppfattningen, att det är synnerligen beklagligt med alla åtgärder, som försvåra de mellanfolkliga förbindelserna. Jag anser det vara av yttersta vikt att i möjligaste mån förhindra uppresandet av skrankor mellan de olika staterna, i synnerhet sådana, som på något sätt försvåra det så att säga rent personliga umgänget folken emellan. En lag, som, för att ens i någon mån kunna kontrolleras, förutsätter en mycket ingående kroppsvisitation för varje person, som kommer in över landets gränser, är för mig mycket motbjudande. Nu är det visserligen sant, att reservanterna blivit förskräckta för denna konsekvens och borteliminerat ur lagförslaget vad som skulle kräva denna åtgärd, men det har också skett på bekostnad av kontrollen. Man står faktiskt här inför valet att antingen taga kroppsvisitation eller också uppgiva t. o. m. varje sken av kontroll. Det återstår då beträffande införseln här ingenting annat än denna pliktkänsla att lita till, och jag tror för min del, att den icke är mycket att göra sig räkning på, när det gäller insmuggling av sådana varor.</w:t>
        <w:br/>
        <w:br/>
        <w:t>Jag har för min del naturligtvis icke något principiellt emot lyxbeskattning i allmänhet, men det får jag säga, att är det så i fråga om övriga lyxbeskattningslagar, att det ställer sig så fullständigt omöjligt beträffande deras tillämpning och kontrollering, och skatten dessutom giver så ytterligt obetydligt i inkomst åt staten, då får det vara, menar jag.</w:t>
        <w:br/>
        <w:br/>
        <w:t>Jag ber att få yrka bifall till utskottets hemställan.</w:t>
      </w:r>
    </w:p>
    <w:p>
      <w:pPr>
        <w:pStyle w:val="Heading2"/>
      </w:pPr>
      <w:r>
        <w:t>2. Erik Nilson (Liberala riksdagspartiet, man)</w:t>
      </w:r>
    </w:p>
    <w:p>
      <w:r>
        <w:rPr>
          <w:b w:val="0"/>
        </w:rPr>
        <w:t>Herr talman, mina herrar! Då finansministern av opasslighet är hindrad att närvara i dag och försvara det regeringsförslag som nu föreligger till'avgörande, har jag begärt ordet, för att från statsrådsbänken något skulle sägas till försvar för den framställning, som Kungl. Maj:t gjort.</w:t>
        <w:br/>
        <w:br/>
        <w:t>Till att börja med ber jag att med tillfredsställelse få konstatera, alt utskottet icke ur principiell synpunkt har någon erinran att göra beträffande särskild beskattning av inköp av dylika lyxföremål utan att utskottet anser. att inköp av dylika lyxföremål</w:t>
        <w:br/>
        <w:br/>
        <w:t>otvivelaktigt är ett lämpligt skatteobjekt och att således en beskattning därav kan anses vara väl motiverad med hänsyn till statsverkets nuvarande behov av inkomstkällor. Men är det så, att skatten ur principiell synpunkt anses riktig, så synes det mig, att man ej heller borde tillmäta de invändningar, som gjorts mot skatteförslaget, den vikt och betydelse, att det föreliggande skatteförslaget borde avslås. I förbigående vill jag säga, att jag anser, att Kungl. Maj:ts förslag i visst hänseende innebär vissa fördelar framför det förslag, som reservanterna här tillstyrkt. Men det oaktat är det alldeles uppenbart, att jag icke på något sätt skall göra mig till målsman för ett bifall till det ursprungliga förslaget, som framlagts från Kungl. Maj:ts sida. Jag anser, att striden här måste stå mellan reservanternas förslag och utskottets avslagshemställan.</w:t>
        <w:br/>
        <w:br/>
        <w:t>De invändningar, som äro gjorda mot det förslag, som föreligger, äro huvudsakligen baserade på svårigheterna att utöva en tillfredsställande kontroll. Rörande denna sak säger utskottet först och främst, att det är omöjligt att utöva en tillfredsställande kontroll i avseende å de inköp, som av resande kunna göras utifrån, och utskottet anser, att man därvidlag måste bliva fullständigt beroende av de resandes pliktkänsla. Jag vill i förbigående göra den erinran mot detta resonemang, att vissa av de föremål, som här skulle beskattas, redan nu äro underkastade tullavgifter, och således måste de resande beträffande dessa saker redan nu göras till föremål för den besiktning eller kontroll, som utskottet vänder sig emot. I övrigt vill jag erinra, att hela vår skattelagstiftning i väsentliga delar vädjar till individens pliktkänsla och hans heder. Det är någonting, som är utmärkande för vår svenska skattelagstiftning, och om det också må vara sant, att kristidens erfarenheter givit vid handen, att det finnes väsentliga defekter i fråga om en och annan individs moraliska egenskaper, så tror jag likväl. att man måste i stort vidgå, att den vädjan, som vår skattelagstiftning gjort till individens hedersoch pliktkänsla, icke kommit till korta. |</w:t>
        <w:br/>
        <w:br/>
        <w:t>Den andra invändningen mot svårigheten att utöva en tillfredsställande kontroll riktar sig mot handeln man och man emellan. Ja, hur är det med annan handel man och man emellan, som vår nuvarande skattelagstiftning likväl gjort till föremål för särskild beskattning. Jag syftar härvid närmast på den särskilda beskattning som drabbar handeln med fondpapper. Det är utan tvivel en stor försäljning av dylika papper, som äger rum man och man emellan, och kontrollen av denna handel erbjuder otvivelaktigt mycket stora svårigheter. Men ingalunda har riksdagen därför ansett, att det skulle vara lämpligt, att man på grund av dessa svårigheter att kontrollera denna handel avsade sig fördelen av att använda de skatteobjekt, som där erbjuda sig. Den invändningen synes mig icke vara starkare i fråga om denna handel, än vad den skulle vara i fråga om handel med fondpapper. Visserligen sägs det här, att denna skatt kommer att inbringa statskassan så obetydligt. Det må vara sant, om man ser den i förhållande till det stora hela. Men</w:t>
        <w:br/>
        <w:br/>
        <w:t>härvidlag tror jag, att man kan säga, att många sådana här små bäckar göra en stor å.</w:t>
        <w:br/>
        <w:br/>
        <w:t>Den näst föregående ärade talaren sade, att det väsentligaste i vår skattelagstiftning kunde kontrolleras. Jag tror, att detta påstående kan äga sin tillämpning även på det skatteförslag, som nu föreligger, nämligen att det väsentliga kan kontrolleras. Beträffande den handel, som försiggår man och man emellan, har utskottet fäst sig särskilt vid, att det är en del utlänningar av i viss mån tvivelaktiga moraliska egenskaper, som skulle driva denna handel. Är det så, förefaller det mig, att om en person vill köpa ett smycke och betala en avsevärd summa för det, så är det större sannolikhet för att han vänder sig till en firma som han väl känner och litar på, än att han köper detta smycke av en person av mera ohskyr karaktär och vilkens moraliska egenskaper han icke kan värdesätta så högt. Ty det säger sig självt, att är det så, att den, som säljer ett dylikt smycke, vill gå så tillväga, att han vill undandraga statsverket den skatt, som statsverket skall ha av denna försäljning, kan man också förutsätta, att denna person mycket väl i sitt förhållande till köparen icke har så solida och goda karaktärsegenskaper, att man kan säga, att denna affär kan göras med fullt förtroende. Jag ber att få fästa uppmärksamheten på, att handel med smycken och dylika varor måste i mvcket hög grad vara en affär, som grundar sig på förtroende.</w:t>
        <w:br/>
        <w:br/>
        <w:t>Slutligen har den ärade talaren vänt sig mot att lagen skulle ha en provisorisk karaktär. Ja, det beror huvudsakligen därpå, att man här beträder ett fullständigt nytt beskattningsområde och att man då vill genom en tids erfarenhet söka sig fram till det som kan vara det lämpligaste. Det synes mig vara en klok åtgärd.</w:t>
        <w:br/>
        <w:br/>
        <w:t>Om det blir svårigheter att kunna avgöra, vad som är smycke eller icke smycke, det tror jag erfarenheten får ge vid hander. Jag hoppas emellertid, att kammaren icke skall låta alltför mycket avskräcka sig av den föregående ärade talarens exemplifieringar rörande handväskor och cigarretuier. Jag är övertygad om att de, som komma att tillämpa författningen, komma att klara dessa blindskär. Det må äga sin riktighet, att en del av dem, som denna skattelagstiftning särskilt skulle komma att besvära, icke äro så intresserade av densamma, men det kan väl ändå icke få utöva ett avgörande inflytande på den ställning, som riksdagen intager till detta skatteförslag.</w:t>
        <w:br/>
        <w:br/>
        <w:t>Allra sist vill jag erinra därom, att första kammaren visser ligen med sju rösters majoritet bifallit utskottets hemställan och sålunda avslagit det föreliggande författningsförslaget, men om andra kammaren biträder reservanternas hemställan, så synes det mig föreligga goda utsikter för att det skulle komma att resultera i ett riksdagens beslut om beskattning av pärlor och smycken.</w:t>
      </w:r>
    </w:p>
    <w:p>
      <w:pPr>
        <w:pStyle w:val="Heading2"/>
      </w:pPr>
      <w:r>
        <w:t>3. unknown (–, –)</w:t>
      </w:r>
    </w:p>
    <w:p>
      <w:r>
        <w:rPr>
          <w:b w:val="0"/>
        </w:rPr>
        <w:t>Herr talman! Herr statsrådet och chefen för lantförsvarsdepartementet började sitt anförande med en reträtt från Kungl. Maj:ts linje till reservanternas linje. Jag tror,</w:t>
        <w:br/>
        <w:br/>
        <w:t>att han skulle gjort klokt i att taga steget fullt ut och ställa sig på utskottsmajoritetens linje. Det tror jag är den enda linje, som i längden kan försvaras.</w:t>
        <w:br/>
        <w:br/>
        <w:t>Herr statsrådet sade, att lagstiftningen får i mångt och mycket vädja till hedersoch pliktkänslan. 'Det är sant, att så är förhållandet, och det måste så vara. Men därför är det mycket mera nödvändigt, när man stiftar lagar, att man inte skriver dem så, att folket i onödan kommer i någon slags konflikt i detta avseende eller att man rent av inbjuder det att bryta mot lagen. Detta gäller kanske icke så mycket detta förslag, men det gäller i mycket hög grad en del andra lagar, där man icke tillräckligt beaktat detta förhållande.</w:t>
        <w:br/>
        <w:br/>
        <w:t xml:space="preserve">Herr statsrådet sade, att varför skall man icke taga denna lagstiftning, när man i fråga om fondpapper har något liknande. Men det är en helt annan sak. Fondpapper kunna i alla fall kontrolleras, och de äro väl icke jämförliga med juveler. Jag vill särskilt peka på, att icke minst under denna kristid har en mängd utlänningar här i landet existerat på att avsätta sina smycken. Det har mången gång varit den enda valuta, som de haft, och tror någon, att det skulle vid förhandlingar man och man emellan varit möjligt för statsverket att få ut den stämpelskatt, som man här avsett att erhålla. Jag tror det icke. Vi få det alldeles säkert från den lojala handeln, därom är intet tvivel. Men det blir ett direkt premierande av denna handel under hand på hotellrum och vänner och bekanta emellan. Jag kan icke se, att man är inne på den riktiga vägen. Men att det finnes åtskilliga svårigheter just av den art, som man här varnat för, det framgår allra bäst av att dessa saker icke äro föremål för någon tull. Och varför? Jo, därför att det icke kunde i praktiken tillämpas. Man har sett i Amerika, där man har höga tullar på dylika varor, vilka oerhörda svårigheter mar haft och vilket kontrollsystem man fått sätta igång för att gripa över hela detta problem, och det har ändå iake lyckats. Jag tror icke, att det vore önskvärt, att vi här 1 vårt land införde bestämmelser, som skulle ha till följd kroppsvisitation vid gränserna, trakasserier av svenska medborgare och av hela denna ström av resande, som vi försöka få in i landet. Det skulle behöva skapas en hel kår av </w:t>
      </w:r>
      <w:r>
        <w:rPr>
          <w:b/>
        </w:rPr>
        <w:t>kvinnliga¹</w:t>
      </w:r>
      <w:r>
        <w:rPr>
          <w:b w:val="0"/>
        </w:rPr>
        <w:t xml:space="preserve"> tull: närer, för att man skulle kunna tillämpa detta. Det är ett skäl, varför jag icke kan vara med om detta.</w:t>
        <w:br/>
        <w:br/>
        <w:t>Jag vill också nämna, att i Danmark är det ett provisorium och icke en lag, som gäller år efter år. Här har Kungl. Maj:t föreslagit, att lagen skall gälla år från år, och det är också en anledning, varför jag icke kan vara med om den.</w:t>
        <w:br/>
        <w:br/>
        <w:t>Herr Röing sade, att i Danmark har man icke kunnat konstatera någon smyghandel. Just detta är ett bevis på att denna lag icke går att tillämpa, ty om man granskar siffrorna på vad skatten givit och om man vet vilken oerhörd omsättning det varit under dessa kristider, så är detta ett bevis på att man icke kunnat följa smyghandeln.</w:t>
        <w:br/>
        <w:br/>
        <w:t>För mig har ett skäl varit mycket vägande. Jag gjorde en direkt förfrågan i bevillningsutskottet, om man hade någon utred-</w:t>
        <w:br/>
        <w:br/>
        <w:t>ning angående vad denna skatt beräknades giva och om man hade uträkning av vad skatten skulle draga för omkostnader vid tilllämpningen, och fick då det svaret, att varken i ena eller andra avseendet förelåg någon utredning. Det synes mig vara ett tillräckligt talande skäl för att enbart på den grunden säga nej. Jag ger herr Röing rätt i vad han sade, att en kvarts miljon också är pengar, men det kan komma pengar på utgiftssidan också. Vi kunna riskera att börja ett system, som icke ger oss, vad vi beräknat, men vållar mycket trakasserier. Jag är visserligen mycket för skandinaviskt samarbete, men jag anser, att man bör ha önskvärda utgångspunkter åtminstone, och att man icke skall okritiskt ta varje lagförslag, som kommer fram, utan vi skola först se till, om det är något, som passar för oss. Jag kan nämna, att i Frankrike har man något liknande det, som nu är föreslaget, men där har det visat sig, att skatten endast givit 14 Z av vad som beräknats, men lett till en hel del svek och bedrägeri, varför man är utledsen på hela historien. Jag tror därför icke, att det nu är rätta tidpunkten för oss att börja med något dylikt. Jag vill även nämna, att i Times för den 1 maj i år står, att tanken på liknande lyxbeskattning blivit avförd.</w:t>
        <w:br/>
        <w:br/>
        <w:t>Då man icke har någon utredning om kostnaderna, och då jag är övertygad om att förslaget innebär att premiera smyghandeln, ber jag, herr talman, att få yrka bifall till utskottets hemställan och avslag på den kungl. propositionen.</w:t>
        <w:br/>
        <w:br/>
        <w:t>komme att avgiva särskilt betänkande i denna del. ränlesegringa SK n. 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1445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