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1416</w:t>
      </w:r>
    </w:p>
    <w:p>
      <w:r>
        <w:rPr>
          <w:b/>
        </w:rPr>
        <w:t xml:space="preserve">Datum: </w:t>
      </w:r>
      <w:r>
        <w:t>1919-07-01</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Hage (Socialdemokraterna, man)</w:t>
      </w:r>
    </w:p>
    <w:p>
      <w:r>
        <w:rPr>
          <w:b w:val="0"/>
        </w:rPr>
        <w:t>Herr talman, mina herrar! Jag har beklagligtvis icke varit i tillfälle att närvara i utskottet vid det slutliga avgörandet av denna fråga. Mem om jag varit närvarande, så skulle jag säkerligen ha reserverat mig till förmån för Kungl. Maj:ts förslag; helst skulle jag dock ha velat yrka bifall till den motion, som vid denna punkt är avgiven av herrar Werner och Lövgren i Nyborg, där dessa med avseende å $ 67 söka betona, att de avdrag, som skulle göras, borde icke blott vara nödiga utan även skäliga. Jag skall dock icke i den punkten göra något yrkande, utan vill endast inskränka mig till att yrka bifall till det av hr Pettersson i Södertälje m. fl. framställda yrkandet, d. v. sg. till Kungl. Maj:ts förslag.</w:t>
        <w:br/>
        <w:br/>
        <w:t>Jag vill såsom motiv för denna min ståndpunkt särskilt framhålla. att det här i verkligheten icke är fråga om att höja det utmätningsfria beloppet, utan det är fastmera fråga om att hålla det vid samma gräns, där det från början har stått. Om herrarna se på den kungl. propositionen och det föreliggande utskottsutlåtandet, skola nämligen herrarna finna, att den nu gällande gränsen för det utmätningsfria avdraget å 150 kr. fas'ställdes 1905. Sedan år 1905 har penningvärdet sjunkit oerhört. Från år 1914 tills i år i oktober ha, efter den sista tillgängliga siffran, levnadsomkostnaderna höits med 142 procent. Sedan har stegringen emligt vad Jag hört, ytterligare fortsatt, så att densamma den 1 december ungefärligen kan</w:t>
        <w:br/>
        <w:br/>
        <w:t>beräknas til! 156 procent. Men redan före år 1914 har det från år 1905 förekommit en sänkming av penningvärdet. Det föreligger inga bestämda siffror i det avseendet, men man torde kunna beräkna för denna period höjningen i levnadsom'kostnaderna till allra mimist en 20 å 30 procent troligen ännu mera, så att vi alltså från år 1905 tills nu börja närma oss en totalökning på 175 å 200 procent. Om man nu tar denna procentsiffra och går ut från det år 1905 fastställda beloppet å 150 kr., så finna vi alltså, att Kungl. Maj:ts förslag är strängt taget ingenting ammnat än ext försök att hålla gränsen vid samma nivå, där den faktiskt från början har varit. Alltså bör man icke uttrycka saken på det sätt, att det här är fråga om att höja det utmätningsfria beloppet, utan i stort sett kan man säga, att det är fråga om act hålla det vid samma realnivå som förut.</w:t>
        <w:br/>
        <w:br/>
        <w:t xml:space="preserve">Som motiv för min ståndpunkt skulle jag dessutom vilja peka på det förhållandet, att när man nu försöker från utskottsmajoritetens sida göra en åtskillnad med avseende på det utmätningsfria beloppets storlek vid olika slag av fordringar, i det att man med avseende på underhållsbidrag, utskylder och allmänna avgifter m. m. vill sätta grämten till 150 kr., men med avseende på andra saker vill sätta den till 300 kr., så ingå ju i den första kategorien även bl. a. skatter till stat eller kommun, alltså till tämligen stabila institutioner. Det kan å andra sidan vara så, att en person har en skuld exempelvis till en fattig </w:t>
      </w:r>
      <w:r>
        <w:rPr>
          <w:b/>
        </w:rPr>
        <w:t>änka²</w:t>
      </w:r>
      <w:r>
        <w:rPr>
          <w:b w:val="0"/>
        </w:rPr>
        <w:t xml:space="preserve">, som innehar en matservering. För </w:t>
      </w:r>
      <w:r>
        <w:rPr>
          <w:b/>
        </w:rPr>
        <w:t>henne²</w:t>
      </w:r>
      <w:r>
        <w:rPr>
          <w:b w:val="0"/>
        </w:rPr>
        <w:t xml:space="preserve"> har man icke den hänsyn, som man har för kommunen, vilken är en bra mycket stabilare person än denna fattiga </w:t>
      </w:r>
      <w:r>
        <w:rPr>
          <w:b/>
        </w:rPr>
        <w:t>änka²</w:t>
      </w:r>
      <w:r>
        <w:rPr>
          <w:b w:val="0"/>
        </w:rPr>
        <w:t xml:space="preserve">, som givetvis har ofantligt mycket större skäl för sitt krav att så fort som möjligt få ut det </w:t>
      </w:r>
      <w:r>
        <w:rPr>
          <w:b/>
        </w:rPr>
        <w:t>hon²</w:t>
      </w:r>
      <w:r>
        <w:rPr>
          <w:b w:val="0"/>
        </w:rPr>
        <w:t xml:space="preserve"> behöver för att kunna leva.</w:t>
        <w:br/>
        <w:br/>
        <w:t>Jag vågar alltså det påståendet, att i vissa fall den skillnad, som uppkommer, när man å ena sidan ställer gränsen för det utmätningsfria avdraget vid 300 kronor och å andra sidan vid 150 kronor, kommer att verka synnerligen absurd, när man tänker på till vilka ändamål man skall använda de penningar, man utkräver.</w:t>
        <w:br/>
        <w:br/>
        <w:t>Från dessa utgångspunkter skall jag, herr talman, för min del be att helt kort få yrka bifall till den reservation, som vid denna punkt är avgiven av herr Pettersson i Södertälje m. fl.</w:t>
      </w:r>
    </w:p>
    <w:p>
      <w:pPr>
        <w:pStyle w:val="Heading2"/>
      </w:pPr>
      <w:r>
        <w:t>2. Oscar Bogren (Liberala samlingspartiet, man)</w:t>
      </w:r>
    </w:p>
    <w:p>
      <w:r>
        <w:rPr>
          <w:b w:val="0"/>
        </w:rPr>
        <w:t>Herr talman! Då utskottsmajoriteten funnit sig föranlåten att beträffande de av regeringen föreslagna bestämmelserna i 8 65 utsökningslagen och $ 30 konkurslagen rörande det u'mätningsfria avdraget göra vissa ändringar, har majoriteten motiverat denna sin ståndpunkt därmed, att man på det föreslagna sättet icke skulle kunna nå i skatteindrivningssyfte den mera rörlige arbetaren, den löse arbetaren. Utskottsmajoriteten medger, att den arbetare, som bildat familj och har ett ordnat hem, bör mera skyddas. Uppfattningen hos oss, som ej ha kunnat följa med utskottsmajoriteten här, är den, att om man också bibehölle det utmätningsfria avdraget till 150 kronor, och även om man sänkte det med 50 procent ned till det gamla beloppet 75 kronor, herrarna därför icke skulle komma längre, när det är fråga om skatteindrivning</w:t>
        <w:br/>
        <w:br/>
        <w:t>dessa hava i allmänhet icke utmätningsbar egendom, uppgående ens till ett värde av 75 kronor. Alltså det mål, som herrarna vilja nå med bibehållandet av status quo, nämligen att såmedelst lättare kunna indriva obetalda förfallna skatter, nås icke. Vi däremot tro och äro förvissade om att detta mål i stor utsträckning, om icke över hela linjen, skall uppnås genom de nya bestämmelserna i införsellagen av 1917. Vad vi emellertid äro måna om, då vi vidhålla Kungl. Maj:ts förslag på 500 kronor som utmätningsfritt avdrag, är att skydda det lilla familjeboet för utmätning, som skulle helt och hållet ruinera familjen. Den synpunkten tror jag icke här kan överskattas.</w:t>
        <w:br/>
        <w:br/>
        <w:t>Dessutom tro vi, att med den av Kungl. Maj:t föreslagna bestämmelsen, man skall kunna i högst väsentlig mån motarbeta den allt för mycket anlitade konsumtionskrediten, det för arbetarnas ekonomiska ställning så ytterst skadliga kreditsystemet. Det bör vara den kreditgivandes sak att lämna kredit, då han vet, att han har att löpa den och den risken, då han vet att blott för allmänna utskylder, underhållsbidrag, skadestånd för brottslig handling o. s. v. kan man få införsel i pension, lön eller arbetsförtjänst.</w:t>
        <w:br/>
        <w:br/>
        <w:t xml:space="preserve">Vi hade i utskottet ett föredrag av tredje stadsfogden här i staden. Denne framlade bland annat en synpunkt till stöd för Kungl. Maj:ts förslag, vilken jag icke kan neka mig att här anföra. Han talade om att i denna stad, liksom även i flera av våra större samhällen det rätt ofta förekommer, att fattiga änkor, som hava att försörja sig själva och en större eller mindre barnskara, ofta söka nå detta sitt mål genom att hyra ut ett eller två möblerade rum. Skulle nu utsökningslagen tillerkänna en sådan </w:t>
      </w:r>
      <w:r>
        <w:rPr>
          <w:b/>
        </w:rPr>
        <w:t>änka²</w:t>
      </w:r>
      <w:r>
        <w:rPr>
          <w:b w:val="0"/>
        </w:rPr>
        <w:t xml:space="preserve"> ett avgiftsfritt bidrag på endast 150 kronor, så skulle, som så ofta skett och sker, det för </w:t>
      </w:r>
      <w:r>
        <w:rPr>
          <w:b/>
        </w:rPr>
        <w:t>henne²</w:t>
      </w:r>
      <w:r>
        <w:rPr>
          <w:b w:val="0"/>
        </w:rPr>
        <w:t xml:space="preserve"> bli en omöjlighet att hålla sig uppe.</w:t>
        <w:br/>
        <w:br/>
        <w:t>Jag vill icke uppehålla kammarens tid med att anföra en hel del exempel, som vittna om att det är i högsta grad behjärtansvärt att här gå med på Kungl. Maj:ts förslag. Det är en gärd av billighet och rättvisa, ja, en gärd av barmihärtighet och det är en Omsorg om den strävsamme arbetaren, som har ett litet hem, en hjälp för honom att kunna bibehålla det och värja det mot olyckor, varöver den ordentlige icke kan råda.</w:t>
        <w:br/>
        <w:br/>
        <w:t>Herr talman, jag ber att få yrka bifall till den av herr Pettersson 1 Södertälje m. fl. avgivna reservationen.</w:t>
      </w:r>
    </w:p>
    <w:p>
      <w:pPr>
        <w:pStyle w:val="Heading2"/>
      </w:pPr>
      <w:r>
        <w:t>3. Axel Vennersten (Första kammarens nationella parti, man)</w:t>
      </w:r>
    </w:p>
    <w:p>
      <w:r>
        <w:rPr>
          <w:b w:val="0"/>
        </w:rPr>
        <w:t>Herr talman, mina herrar! Jag har icke deltagit i den huvudsakliga behandlingen av detta ärende i utskottet och är därför ej heller antecknad som närvarande. Vid ett tillfälle var jag dock där, och det var just när den av den föregående ärade talaren omnämnde sakkunnige inför utskottet lämnade några upplysningar. Dessa upplysningar voro av sådan art, att jag ansåg, att det icke vore rätt att ställa sis på den sida, som förordade bifall till Kungl. Maj:ts förslag oförändrat.</w:t>
        <w:br/>
        <w:br/>
        <w:t>Det är naturligtvis synnerligen lä't såväl att förklara som för- Ang. ändring svara och uppfatta Kungl. Maj:ts förslag såsom avseende en åtgärd 7 wtsöknings- . 1 11: of fl lagen m. m. av humanitet och billighet och därför ock av rättvisa, som den senaste ärade talaren uttryckte sig, men det kan nog hända, mina Eon herrar, att om man så där schema'iskt bedömer saken, man genom denna åtgärd, som skulle främja rättvisan, tvärtom åsidosätter den, och jag vill fråga, om icke genom ett sådant schematiskt tillvägagångssätt som det här föreslagna, vars brister av herr Wikström så tydligt påpekats, man komme därhän, ast man läte de tredskande och oorden'liga elementen i samhället komma undan sin skattebetalning på bekostnad av dem, som äro strävsamma, ordentliga och villiga att betala sin skatt, och för vilkas skyddande det föreligger mycket mera ömmande skäl än för de andra. Det är på den grund jag nu i det läge, vari frågan kommi!', utan tvekan ansluter mig till herr Wikströms avslagsyrkande i samma syfle som han, nämligen att framkalla ett förslag. som bättre tillgodoser det verkliga lives krav och den rät'visa, rätt fattad, som vi alla vilja främja.</w:t>
        <w:br/>
        <w:br/>
        <w:t>Jag skall icke uppehålla kammaren med att ingå i detaljer, men vad skall man fänka, när man hör sådana exempel, som de av herr Wikström lämnade, gripna ur det levande livet, och vidare hör tredje stadsfogden i Stockholm påpeka, a:t om de'ta förslag blir lag, man skulle kunna säga, att möjlighe'erna att genom utmälning utt ga u skylderna vore så gott som illspi logivna. Man skulle därmed eliminera denna utväg att utav tredskande, oordentliga element söka uttaga vad samhället äger rät att av dem u kräva, icke blott i det allmännas intresse utan framför allt i de enskilda, ordentliga skattebetalandes intresse. :</w:t>
        <w:br/>
        <w:br/>
        <w:t>Herr Hage säger visserligen, att det här icke är fråga om att höja utan endast att vidmakthålla det förutvarande beloppet. med hänsyn till penningvärdets enorma fall. Men jag frågar er, mina herrar, om ni äro beredda att taga konsekvensen av ett sådant ställningstagande, att över allt där förut 150 kronor utgått, där skola nu 500 kronor utgå. Det är icke möjligt att i denna stund kunna överblicka, huru penningsvärdets fall slutligen kommer att gestal'a sig, men jag vågar varna för den uppfattningen, att man har rä't att redan nu taga för visst, ast peningvärdet kommer att stad:gvarande hava fallit så, att kronan icke vore värd mera än 30 öre. Jag förutser visserligen, att en mycket betydande nedgång i penningvärdet kommer att kvarstå efter kriget, men jag tror icke, att vi gå så revolutionerande tider till möte på det ekonomiska livets område, som fallet bleve, om det nyssnämnda värdeförhållandet skulle bestå.</w:t>
        <w:br/>
        <w:br/>
        <w:t>Det är av dessa skäl jag icke kunnat finna det rådligt att tillmö'esgå Kungl. Maj:ts framställning, och det är uteslutande i det syfte. som jag nämnt och som förut framhållits av herr Wikström, som jag anhåller att få ansluta mig "ill hans yrkande om avslag å Kungl. Maj:'s förslag i fråga om utsökningslagen.</w:t>
      </w:r>
    </w:p>
    <w:p>
      <w:pPr>
        <w:pStyle w:val="Heading2"/>
      </w:pPr>
      <w:r>
        <w:t>4. Axel Lindqvist (Socialdemokraterna, man)</w:t>
      </w:r>
    </w:p>
    <w:p>
      <w:r>
        <w:rPr>
          <w:b w:val="0"/>
        </w:rPr>
        <w:t>Herr tilman, mina herrar! Jag har begärt ordet för att särskilt framhålla en synpunkt, som jag tyc-</w:t>
        <w:br/>
        <w:br/>
        <w:t>lagen m. M. ker icke blivit tillräckligt beak:ad under debatten. Jag vill först</w:t>
        <w:br/>
        <w:br/>
        <w:t>erinra om, att, såvitt jag icke minnes fel, är ju vår utsökningslag från 1877. När denna lag behandlades av andra kammaren, var man överens om, att det borde sättas ett utmätningsfritt avdrag av 100 kronor. Första kammaren hade vid deta tillfälle som så ofta en ann n mening än andra kammaren och beslöt ett u:mätningsfrit. avdrag &gt;v 50 kronor. Sedan kom genom sammanjämkning beloppet att bestämmas til 75 kronor, vilket sedan bibehölls till 1905, då en ändring av lagen genomfördes, varvid 150 kronor bestämdes som utmätningefrilt avdrag, vilket ännu gäller.</w:t>
        <w:br/>
        <w:br/>
        <w:t>När lagrådet granskade den proposition till ändring av lagen, som då förelåg, så fanns det et justitieråd, som y:trade fö jande:</w:t>
        <w:br/>
        <w:br/>
        <w:t>» Vid lagstiftning i detta ämne har man att tilse, å ena sidan att borgenären så vitt möjligt får sin fordran fullt ut hos gäldenären och å den andra sidan, att denne senare icke berövas det allra nödvändigaste för livets nöd orft.»</w:t>
        <w:br/>
        <w:br/>
        <w:t xml:space="preserve">Jag tycker, att vad detta justitieråd vid detta tillfälle sade är fullt riktigt ocn bör äga tillämpning än i dag. Nu hade han visserligen vid det a tillfä le den uppfattningen. a t de 150 kronor, som då voro föreslagna av Kungl."Maj:t, icke voro behövliga, utan than ville stanna vid förutvarande 75 kronor, men det kan finnas olika uppfattningar om sådant också. Jag tror för min del, tt skall man tillse, a t den som har en skuld, vare sig av det ena eller andra slaget, icke berövas det allia nödtorft'gas'e, då måste man gå med på det förslag, som Kungl. Maj:: framlagt och vartil yrk ts bifall av herr Pettersson i Södertälje. Ett bifall till Kungl. Maj:ts förslag skulle icke så mycket vara ägnat att tillgodose ett rent industriarbetareeller lönearbetarein'resse som just andra småfo'ksintressen. Av industriarbet rna och lönearbetarna kommer man att taga ut skatterna genom det införselins itut, som man här har föreslagit. Beträffande däremot de andra, som icke ha en sådan ställning som lönarbetarna, som icke ha att veckovis eller månadsvis hämta sin avlöning och på vilka man icke kan tillämpa införsel nstitutet, kommer man att vända sig till utsökningslagen. Det gäller då att tillgodose dessa människors bahjärtansvärda intresse, deras berät igade intresse att icke bliva beröv-de det som de nödvändigtvis behöva; så at icke dessa personer skola bliva berövade sina redskap, att t. ex. en torpare eller mindre jordbrukare icke skal berövas sin ko eller drgare, en hantwerkare icke s'na verktyg, en </w:t>
      </w:r>
      <w:r>
        <w:rPr>
          <w:b/>
        </w:rPr>
        <w:t>sömmerska³</w:t>
      </w:r>
      <w:r>
        <w:rPr>
          <w:b w:val="0"/>
        </w:rPr>
        <w:t xml:space="preserve"> icke sin symaskin o. s. v. Förslaget avser just att tillgodose dessas intressen, och så vit: jag kan förstå och fatta är nog dessa sambhällsgruppers intressen hela samhällets intresse, ty samhället som sådant kan icke ha intresse av att beröva dessa människor det allra nödvändigaste. Genom att beröva dem det a blir nämligen ställningen värre för kommunerna än om man sät er det utmätningsfria avdraget så högt som här är föreslaget.</w:t>
        <w:br/>
        <w:br/>
        <w:t>Man har från många håll — och särskilt tänker jag därvid på herr Wikström — tryckt på att dessa lösa arbetare, dessa bondsöner</w:t>
        <w:br/>
        <w:br/>
        <w:t>och dylika, som herr Wikström talade om, har det hittills i Sverige varit mycket svart att taga u. skatterna och atv, om detta förslag bleve anvaget, skulle detta bliva annu svårare. Jug tror, att det ar riktig., alt det varit svart att aga ut skatterna av dessa sa kallade lösa arbetare, och ait det också npädsnetter blir svårt, vicket belopp man än sätter, vare sig 150 kronor eller 500 kronor. Jag tror tör min del, att skall man här få en lag effektiv, då bör man se till a.t man också använder sig av andra medel än som här föres agits. Det har vid några tillfällen, jag tror även under min riksdagsmannatid, varit mo.ioner väckta, jag vill minnas från socialdemokratiskt håll, i samband med skattelagstiftningsfrågor, att bankinrättningar skulle vara skyldiga at. t.ll taxeringsnämnderna lämna uppgift på de ränteutgifter, som de ha å insatta medel. Ett sådant törslag har ännu icke vunnit riksdagens bifall. Huru skulle de.ta verka, herr Wikström, i ett fall sådant som detta, om dessa bondsöner, som icke äro fattiga, som i allmänhet ha penningar, fastän det icke ser så u., om man hade något medel, genom vilket man kunde få vetskap om att de hade något litet kapital, fastän deta eljest icke syntes? Man kan tänka sig olika sätt at: gå fram för att få ut skatterna. Den erfarenheten h:r man litet varstans, att det finnes nog ogifta personer, som urak:låta att betala sina skatter, icke därför att de varit sämre situerade än de gif a. utan därför, att de befinna sig i en sådan ställning, at; om de äga något, så ha de kanske detta i form av något kapital på banken.</w:t>
        <w:br/>
        <w:br/>
        <w:t>Det förefinnes icke från min sida och jag vågar säga icke från någons sida, som ställt sig på Kungl. Maj:ts förs'ag, den uppfattningen, att vi skulle vilja vara med om en sådin lagstiftning, som ur effektivite:ens synpunkt icke vore lika stark som någon annan. Vi vilja för vår del visst vara med om att medverka till att de allmänna utskylderna bliva inbetalta av dem, som ha möjlighet att göra detta.</w:t>
        <w:br/>
        <w:br/>
        <w:t>Jag har för min del icke kunnat finna annat än att ett rent samhäl'sintresse kräver, a't man icke sätter det utmätningsfria avdrage" allt för lågt, och jag tror, att man för närvarande kan säga, att den summa, som av Kunegl. Maj:t föreslagits, kan anses nöjaktig, och jag ber för den skull, herr talman, att få yrka bifall till herr Petterssons i Södertälje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1416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