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352</w:t>
      </w:r>
    </w:p>
    <w:p>
      <w:r>
        <w:rPr>
          <w:b/>
        </w:rPr>
        <w:t xml:space="preserve">Datum: </w:t>
      </w:r>
      <w:r>
        <w:t>1920-02-18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Nilsson (Bondeförbundet, man)</w:t>
      </w:r>
    </w:p>
    <w:p>
      <w:r>
        <w:rPr>
          <w:b w:val="0"/>
        </w:rPr>
        <w:t>Jag vill erinra herr Nilson i Kristinehamn om det bibelspråk, som säger, att man icke skall bära falskt vittnesbörd om sin nästa. Han var nära nog inne på gränsen till sådant. Jag har för min del aldrig sagt, att det icke finr:s anhängare i andra kammaren till reservationen; jag har sagt, att av ledamöterna i utskottet från andra kammaren finns ingen, som nundertecknat denna reservation, och det är detta jag har velat stryka under. Därmed följer ju av allt att döma, att andra kammaren väl antagligen kommer att följa sina utskottsmedlemmars uppfattninz.</w:t>
        <w:br/>
        <w:br/>
        <w:t>Av personer i kammaren, som deltagit i det praktiska taxeringsarbetet, har jag ytterligare fått uppgift om att på landsbygden tillämpas författningen på det sättet, att så snart det gäller en ung-</w:t>
        <w:br/>
        <w:br/>
        <w:t xml:space="preserve">karl, om vilken man måste säga sig, att han icke är i behov av en sådan skattelindring, så känner man i allmänhet i dessa bygder så till de skattskyldiga, att man i ett sådant fall icke beviljar något avdrag. Men det kan finnas, säga dessa personer, ömmande fall, då det kan vara en man och </w:t>
      </w:r>
      <w:r>
        <w:rPr>
          <w:b/>
        </w:rPr>
        <w:t>hustru²</w:t>
      </w:r>
      <w:r>
        <w:rPr>
          <w:b w:val="0"/>
        </w:rPr>
        <w:t>. som äro komna till hög ålder, som kanske fostrat upp en stor barnskara och som befinner sig i den ställningen på ålderns dagar, att de ha en inkomst mellan 3,000 och 4,000 kronor och vilka exempelvis på grund av sjukdom kunna vara i behov av denna skattelindring. Därför är det bra, om denna paragraf finnes, så att man även här kan medgiva den lilla skattelindring, som det gäller. Jag vill ännu en gång stryka under, att det kan väl dock icke vara något särskilt stort intresse, att för denna lilla saks skull, för att få en ändring i utskottets förslag på denna punkt riskera att förorsaka ett dröjsmål på flera dagar genom att åstadkomma en gemensam votering, som denna obetydliga bestämmelse enligt mitt förmenande icke är värd.</w:t>
      </w:r>
    </w:p>
    <w:p>
      <w:pPr>
        <w:pStyle w:val="Heading2"/>
      </w:pPr>
      <w:r>
        <w:t>2. Johan Östberg (Första kammarens nationella parti, man)</w:t>
      </w:r>
    </w:p>
    <w:p>
      <w:r>
        <w:rPr>
          <w:b w:val="0"/>
        </w:rPr>
        <w:t>Jag vill emot herr Rune endast framhålla. att i de större städerna är det icke möjligt att underkasta varje fall en individuell prövning, utan där går det så till, att man vid taxeringsarbetets början bestämmer ett generellt avdrag, och så tillämpas detta på alla. Att man i de smärre samhällena, där inkomster över 3,000 kronor kanske mera äro undantag, kan ingå på en individuell prövning, må så vara. Men det kan man icke göra i de större samhällena, och då är det efter min mening alldeles onödigt att i detta fall införa bestämmelsen om detta avdrag, vilket är skilt från avdraget för barn, som den skattskyldige har att försörja. Jag kan icke se något skäl att i detta avseende avvika från Kungl. Maj:ts förslag.</w:t>
        <w:br/>
        <w:br/>
        <w:t>Jag vill också ännu en gång fästa uppmärksamheten därpå. att andra kammaren ännu icke behandlat detta ärende, och det är mycket möjligt, att andra kammaren biträder första kammarens beslut, om detta skulle utfalla enligt reservationen. Då uppstår ju inga praktiska olägenheter i fråga om författningens utfärdande, vilka olägenheter för övrigt, även om kamrarna skulle stanna i olika beslut, icke böra vara avgörande. Författningen kan säkerligen i allt fall mycket snart utkomma.</w:t>
      </w:r>
    </w:p>
    <w:p>
      <w:pPr>
        <w:pStyle w:val="Heading2"/>
      </w:pPr>
      <w:r>
        <w:t>3. Axel Rune (Frisinnade folkpartiet, man)</w:t>
      </w:r>
    </w:p>
    <w:p>
      <w:r>
        <w:rPr>
          <w:b w:val="0"/>
        </w:rPr>
        <w:t>Jag ber endast att få säga min vän herr Östberg, att jag verkligen icke trodde, att vi här stifta lag bara för de större städerna, utan jag trodde, att vi stifta lag för Sveriges befolkning i dess helhet. Och antalet taxeringsdistrikt i de större stiderna är helt visst ganska litet i jämförelse med taxeringsdistrikten i hela Sveriges land.</w:t>
        <w:br/>
        <w:br/>
        <w:t>Köroråninganen, efter att hava upprepat propositionen på paragrafens godkänfö 74. nande enligt utskottets förslag, sig finna denna proposition vara med skilda avdrag Övervägande ja besvarad.</w:t>
        <w:br/>
        <w:br/>
        <w:t>Jag vill särskilt vända mig mot ett yttrande av utskottet angående motionen. Utskottet säger, att herrar Björnssons och Ljungkvists motioner »äro riktade mot den i vårt skattesystem vedertagna grundsatsen, att äkta makar betraktas såsom ett gemensamt skattesubjekt». Det är naturligtvis sant, men endast delvis, ty vi vända oss icke mot denna princip i dess fulla omfattning. Den innebär nämligen, att då äkta makar ha en så stor inkomst, att beskattningen blir progressiv, får man icke lov att genom uppdelning av dessa makars inkomst på skilda skattesubjekt minska skatten. Mot denna princip, att äkta makar beskattas gemen-</w:t>
        <w:br/>
        <w:br/>
        <w:t>samt, då det gäller progressionen, ha vi icke vänt oss, och vidare ha vi icke heller vänt oss mot denna princip, då det gäller inkomst annorledes än av förvärvsarbete, således icke då det gäller inkomst av fastighet eller inkomst av förmögenhet. Det är alltså en ganska speciell tillämpning av principen, mot vilken vi vända oss. Vidare har utskottet i denna refererade del av sitt yttrande genom att jämställa våro motioner med tidigare i detta ärende väckta, givit motiven till våra motioner en delvis oriktig belysning. De föregående motionärerna, herrar Clason, Palmstierna och Welin ha allenast utgått från, att denna ojämnhet i skattelagstiftningen är ägnad att minska äktenskapsfrekvensen. Denna synpunkt har för oss fått träda i bakgrunden helt enkelt av det skälet, att det eljest icke skulle varit möjligt för oss att väcka motionerna i anslutning till Kungl. Maj:ts proposition nr 24.</w:t>
        <w:br/>
        <w:br/>
        <w:t>Jag har under min verksamhet med fördelning av dyrtidsanslaget för mindre bemedlade gjort den erfarenheten, att denna oegentlighet, såsom herr Clason visst först har betecknat detta förkållande, i vår skattelagstiftning har verkat synnerligen hårt för gifta personer. Det är just med anledning av dyrtidens tryck på de mindre bemedlade, som vi ha väckt denna motion, och icke med några bitankar om att verka höjande på äktenskapsfrekvensen.</w:t>
        <w:br/>
        <w:br/>
        <w:t>Det kan säkert anföras mycket goda skäl för att denna motion borde bifallas. Jag kan icke underlåta att finna, att utskottet har behandlat den oförtjänt kyligt. Utskottet säger, att de »ifrågavarande motionärerna i ämnet hava i motiveringen uttalat förhoppningen, att den blivande kommunalskattereformen komme att innefatta en rationell lösning även av denna fråga». TI denna vår förhoppning har utskottet icke ens funnit anledning att instämma, och därför stå vi motionärer tämligen ensamma om den besvikenhet man känner, då man ser det förslag till kommunalskattereform, som nu föreligger. Där har man nämligen, såvitt jag kan förstå, icke gått till botten med denna fråga.</w:t>
        <w:br/>
        <w:br/>
        <w:t>Beträffande de skäl, som utskottet har anfört för sitt avslagsyrkande, vill jag säga, att jag icke kan förstå, att det skälet, att det skulle vara betänkligt att i en provisorisk författning frångå en princip. som ännu kvarstår i den samtidigt tillämpade huvud författningen, är så tungt vägande, därför att hela denna provisoriska skatteförordning ju i själva verket innebär principer, som icke alls finnas i huvudförfattningen. Icke heller tror jag, att det är riktigt, att de kommunalt skattskyldiga på många håll icke skulle tåla den ökade belastning, som skulle kunna bli en följd av bifall till vår motion. Jag vill därvidlag begagna det skäl, som under debatten vid de båda föregående punkterna använts på bägge sidor, precis som det har passat: det är ju icke fråga om ett obligatoriskt avdrag, utan endast om ett fakultativt. Om i någon landskommun t. ex. det skulle kommit att verka för hårt för de inkomsttagare, som ligga närmast över ifrågavarande klasser, skulle</w:t>
        <w:br/>
        <w:br/>
        <w:t xml:space="preserve">Förordningsju taxeringsnämnden haft i sina händer att undvika denna svåskilda avdrag Men det finns ett annat skäl, och det är det, att om utskottet vid 1920 års icke vill tillstyrka denna motion utan att ha varit i tillfälle att frgia för företaga en grundlig utredning om den ekonomiska innebörden av pönkomet densamma, så har detta knappast varit möjligt med hänsyn till den (Forts.) korta tiden. Det är detta skäl, för vilket jag har böjt mig, och då jag icke har ansett det vara möjligt att nå något resultat med ett yrkande om bifall, har jag icke heller ansett det vara någon mening att reservera mig. Men jag har som sagt velat göra denna erinran om att jag ingalunda känner mig övertygad om att utskottets motivering för sitt avslagsyrkande är riktig och bärande. Jag ber att få säga, att det är min övertygelse, att en provisorisk skatteförordning, som utgått från ett medgivande om avdragsrätt för gift </w:t>
      </w:r>
      <w:r>
        <w:rPr>
          <w:b/>
        </w:rPr>
        <w:t>kvinna¹</w:t>
      </w:r>
      <w:r>
        <w:rPr>
          <w:b w:val="0"/>
        </w:rPr>
        <w:t xml:space="preserve"> på det sätt, som vi ha begärt, tillsammans med ett något modifierat skatteförslag av den art, som nu är antaget, helt säkert skulle bättre än detta hava smugit sig efter det verkliga behovet av skattelindring. Som belägg för detta mitt påstående vill jag anföra det fall, som herr Rosén under den tidigare debatten anfört, där det gällde en statstjänare, som på grund av kommunalskattens tyngd trodde, att han skulle behöva avstå från vär-</w:t>
        <w:br/>
        <w:br/>
        <w:t>defull och för hans existens oumbärlig lösegendom.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352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