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355</w:t>
      </w:r>
    </w:p>
    <w:p>
      <w:r>
        <w:rPr>
          <w:b/>
        </w:rPr>
        <w:t xml:space="preserve">Datum: </w:t>
      </w:r>
      <w:r>
        <w:t>1920-03-09</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unknown (–, –)</w:t>
      </w:r>
    </w:p>
    <w:p>
      <w:r>
        <w:rPr>
          <w:b w:val="0"/>
        </w:rPr>
        <w:t xml:space="preserve">ten del av en fastighet så bebyggts, att därå den 1 januari 1919 fanns och vid upplåtelsetidens slut fortfarande finnes nöjaktig bostad för brukaren och hans familj, vare brukaren, därest minst en fjärdedel av det värde, området med därå befintliga byggnader äger, belöper å brukaren tillhöriga byggnader, vid upplåtelsetidens slut berättigad lösa det upplåtna området, där ej nedan i denna lag annorlunda stadgas. Är en del av en fastighet upplåten för brukarens livstid, skall, evad </w:t>
      </w:r>
      <w:r>
        <w:rPr>
          <w:b/>
        </w:rPr>
        <w:t>änka²</w:t>
      </w:r>
      <w:r>
        <w:rPr>
          <w:b w:val="0"/>
        </w:rPr>
        <w:t xml:space="preserve"> njuter brukanderätten till godo eller ej, vid den tid, då den upplåtna brukanderätten upphör, vad i denna lag sägs om brukare på viss tid äga motsvarande tillämpning i avseende å delägarna 1 brukarens bo, i den mån ej nedan annat stadgas. Vad i denna lag stadgas om till brukande upplåten del av fastighet skall jämväl tillämpas å till fastighet hörande område, som upplåtits till bostadslägenhet.</w:t>
        <w:br/>
        <w:br/>
        <w:t>»Har en för viss tid till brukande upplåten del av en fastighet över tjugu år i följd innehafts av annan än ägaren och har området så bebyggts, att därå — — — bostadslägenhet.»</w:t>
      </w:r>
    </w:p>
    <w:p>
      <w:pPr>
        <w:pStyle w:val="Heading2"/>
      </w:pPr>
      <w:r>
        <w:t>2. Carl Lindhagen (–, man)</w:t>
      </w:r>
    </w:p>
    <w:p>
      <w:r>
        <w:rPr>
          <w:b w:val="0"/>
        </w:rPr>
        <w:t>Enligt $ 1 av föreliggande lagförslag är den rätt, varom nu är fråga, bunden vid att nyttjanderättshavaren har upplåtelse enligt kontrakt på en tid överstigande 20 år. Jordbrukskommissionen hade föreslagit, att det icke skulle vara nödvändigt, att det sista kontraktet lydde på en tid av över 20 år. Det skulle vara nog, att arrendatorn faktiskt suttit såsom nyttjanderättshavare över 20 år. Nu har i min och Winbergs motion hemställts, att det icke skulle vara någon tid alls. För min del anser jag, att det konstitutiva i denna fråga är icke, att egendomen varit upplåten under någon viss tid, utan</w:t>
        <w:br/>
        <w:br/>
        <w:t>det förhållandet, att en person verkligen har tillåtits att på en annans Lagförslag mark uppföra egna bostadsbyggnader. Det är klart, att om saken gått si ände ol så långt, är det också meningen, att han skall kunna få skaffa sig ett rare all vär eget hem och få behålla det. Byggnaderna hava väl andå icke upplösa upplåtet förts, för att man skall kunna ålägga honom att flytta genast och såområde. lunda beröva honom desamma. Om han således suttit där några dagar = (Fort. eller under någon längre tid, är icke av någon konstitutiv betydelse.</w:t>
        <w:br/>
        <w:br/>
        <w:t>Att berövas sitt eget hem och nödgas bortföra sina byggnader är en</w:t>
        <w:br/>
        <w:br/>
        <w:t>brutal framfart, och därför har jag för min del hemställt, att tidsbegränsningen skulle utgå.</w:t>
        <w:br/>
        <w:br/>
        <w:t>Nu föreligger här i en reservation en kompromiss — Ja, det är verkligen svårt, herr talman, att i år hitta i detta utlåtande, ty det är oklarare uppställt än förra året — här finnes i alla fall en reservation, i vilken förordas den av herr Karlsson i N ynäshamn m. fl. väckta motionen, däri det yrkas bifall, så vitt jag förstår, till $ I med den modifikationen att tiden inskränkes till 5 år.</w:t>
        <w:br/>
        <w:br/>
        <w:t>Nu vill jag för det första göra en erinran och fråga, varför icke Jordkommissionens utlåtande kunnat få läggas till grund för denna proposition. Det var ju så, att när propositionen förra gången remitterades till lagrådet, skedde detta med bibehållande av Jordkommissionens förslag. Men så gjorde lagutskottet ett par formella invändningar, och ögonblickligen gick justitiedepartementet med på detta och framlade propositionen i dess nu förevarande skick. N aturligtvis gingo de olika partierna med på detta. Det är ju icke möjligt att få en ändring i en kungl. proposition i ett sådant avseende.</w:t>
        <w:br/>
        <w:br/>
        <w:t>Under debatten vid 1919 års riksdag, som ägde rum då kammaren var i upplösning och endast ett fåtal ledamöter voro närvarande, yttrade justitieministern i alla fall, att han ansåge, att jordkommissionens förslag hade goda skäl för sig.</w:t>
        <w:br/>
        <w:br/>
        <w:t>Vad är det egentligen för rättvisa att inskränka denna lösningsrätt så mycket, att kontraktet skall lyda på 20 år? Det är väl kammarens ledamöter bekant — åtminstone för dem, som äro från landsbygden, och även för mig, fastän Jag är från staden — att mångenstädes och kanske på de flesta ställen på landsbygden sådana här upplåtelser äro gjorda på viss kortare tid, 5 eller 10 år, och sedan förnyas de oupphörligt, så att det finnes personer, som suttit i generationer eller i alla händelser i en generation. Dessa skulle nu icke hava någon nytta av denna lag bara på grund av den formella anledningen, att det sista kontraktet icke lyder på en tid över 20 år.</w:t>
        <w:br/>
        <w:br/>
        <w:t>Man må ock besinna, att om dessa personer med hus på annans mark bo i samhällen med sammanträngd befolkning, såsom fisklägen eller dylikt, då hemfaller deras möjlighet att kunna disponera marken utan intrång av Jordägaren på den allmänna expropriationslagen. Där finnes ingen tidsbegränsning. Men bo de ett avsevärt stycke från varandra, skall kontraktet nödvändigt lyda på en tid över 20 år.</w:t>
        <w:br/>
        <w:br/>
        <w:t>Man kan verkligen säga: Med vilken liten vishet världen regeras! | Nu är jag verkligen tveksam om vilket yrkande jag skall göra: bifall till min motion, kompromissen om 5 års besittningstid eller jord-</w:t>
        <w:br/>
        <w:br/>
        <w:t>emot sådana personer, som fått tillstånd att bygga egnahem på ofri grund. Det är verkligen beklagligt, att inte en lag i det syfte som den 1 dag föreliggande och även 1918 års lag tidigare kommit fram. Det skulle otvivelaktigt hava räddat många egnahem från förstörelse.</w:t>
        <w:br/>
        <w:br/>
        <w:t>Det nu påpekade förhållandet har verkligen också haft en följd till, som icke är så odelat angenäm. Det har varit detta förhållande med egnahem på ofri grund, som bringat det gamla torpsystemet i misskredit. Det var nämligen förr synnerligen vanligt i synnerhet på de mindre jordbruken, bondgårdarna, att torparna själva uppförde byggnader och sedan fingo sig ålagd dagsverksskyldighet. På många håll missbrukades detta av jordägarna 1 den allra högsta grad. Dagsverksskyldigheten ökades gång på gång ända till bristningspunkten då torparna funno sig omöjligt kunna utföra den arbetsskyldighet, som ålåg dem, och lämnade sina hus vind för våg att förfalla och flyttade till gästvänligare trakter.</w:t>
        <w:br/>
        <w:br/>
        <w:t>En sådan lag som denna måste emellertid ovillkorligen hava tre mål för ögonen. För det första att skydda husägarens — om jag så får kalla honom — ekonomi, att sålunda skydda och taga till vara hans ekonomiska rättigheter. För det andra har lagen ett mera ideellt syfte, om jag så får säga, nämligen att försöka ställa så om, att den, som har brutit och odlat mark och kanske med stor ansträngning i sin ungdom uppfört byggnader på främmande grund, även skall bli i tillfälle att bo kvar och således icke allenast få ersättning för sin möda utan även på gamla dagar sitta kvar i sitt gamla hem. Men då lagen har dessa båda ändamål för ögonen, är det givet, att den för det tredje måste taga hänsyn till ännu en punkt nämligen jordägarens intresse.</w:t>
        <w:br/>
        <w:br/>
        <w:t>Om vi nu först betrakta, huru långt lagförslaget kommit i fråga om att kunna skydda husägaren för ekonomisk förlust, vill jag verkligen delvis instämma med herr Lindhagen. Lagförslaget går enligt mitt förmenande icke tillräckligt långt i detta avseende. Jag kan icke så här i hast skissera, hur jag skulle vilja hava lagen skriven, men nog får man väl ändå säga, att den jordägare, som tillåter, att hus byggas på hans mark, har en viss skyldighet att skydda husägaren från ekonomisk förlust, åtminstone i de flesta fall. Det kan naturligtvis finnas fall, då sådant icke är rimligt eller möjligt, men i de flesta fall har han enligt min mening en absolut skyldighet att inlösa husen. Men så hava vi ju den sista punkten i saken. Om vi skola vända det därhän, att jordägaren icke har inlösningsrättighet men husägaren har en sådan rättighet, då ställer det sig verkligen ofta så, att jordägaren kan bliva tillskyndad förlust av en eller annan art, som icke är så liten.</w:t>
        <w:br/>
        <w:br/>
        <w:t>Nu säges det i lagförslaget, att husägarens absoluta inlösningsrätt skall inskränkas till det fall, att husen ligga på ett visst avstånd från</w:t>
        <w:br/>
        <w:br/>
        <w:t>Jordägarens tomt eller trädgård o. s. v. Nu ber Jag att få påpeka, att Lagförslag det är mycket vanligt, att det icke är detta, som utgör den stora oläang. rätt för</w:t>
        <w:br/>
        <w:br/>
        <w:t>genheten för jordägaren. Husiägarens byggnader kunna nämligen vara</w:t>
        <w:br/>
        <w:br/>
        <w:t>belägna på helt andra ställen och dock vålla Jordägaren allvarliga olälösa upplåtet</w:t>
        <w:br/>
        <w:br/>
        <w:t>genheter. Vi skola komma ihåg, att när jordägaren en gång upplät en tomt till bebyggande, var det till en viss person, som han kände och hade förtroende för. Det är kanske många år sedan. Han skulle enligt mitt förmenande absolut icke vara villig att upplåta en dylik byggnadstomt, i fall han tänkt sig, att denna skulle gå 1 handel och vandel. Ponera, att byggnadstomten ligger inne i en skog! Jag vet, att efter norrländska och uppsvenska förhållanden anser man detta vara synnerligen oviktigt. Det är en plats, där för Jordägaren okända personer icke skulle kunna göra någon skada alls, men i Skåne och södra Sverige är förhållandet helt annorlunda. Vår ytterst dyrbara skogskultur tål icke obehörigt tramp eller betande. Skogen skadas allt för lätt. Då kan man visserligen invända, att jordägaren får övervaka, att sådant icke äger rum, men det är Ju rätt svårt gent emot sådana personer, som han eljest icke har det ringaste att göra med.</w:t>
        <w:br/>
        <w:br/>
        <w:t>Nu vill jag endast påpeka en omständighet, som ändå utgör ett bevis för att detta kan utgöra en olägenhet. Hur är det, då staten styckar sina domäner. Ja, jag har själv varit domänvärderingsman, och vid dessa tillfällen har skogsstaten absolut motsatt sig friköpande av lägenheter inne på blivande kronoparker. Det är väl ändå bevis för att detta icke kan vara tillrådligt. Det finns även andra tillfällen, än då lägenheterna ligga inne i skogen, då en friköpning kan vara till olägenhet för jordägaren. J ag vill endast påpeka ett sådant fall som att jordägaren sedan vill försälja sin egendom. Det måste sägas, att det kan hava en viss betydelse för en eventuell köpare, om egendomens karta ser ut som ett såll med vita fläckar här och där. Det är klart, att mer än en köpare drar sig för att betala vanligt pris för en dylik egendom.</w:t>
        <w:br/>
        <w:br/>
        <w:t>Nu finns det visserligen i lagförslaget ett skydd för Jordägaren utom det fall, att han har rättighet att lösa byggnaderna, då de ligga på kortare avstånd från boningshus, tomtplats eller trädgård, nämligen om områdets inlösen skulle medföra avsevärd olägenhet för fastigheten. Ja, det är alldeles sant, men detta är väl ett skäligen vidsträckt begrepp. Det är ju tydligt, att om den till friköp avsedda lägenheten finge värderas eller synas av statens skogstjänstemän, om den ligger på en skog, så skulle dessa avstyrka friköpningsrätten. Men vilken garanti har man för att det i synenämnden sitter folk, som har någon känsla för det viktiga i att freda skogen. Jag misstänker således, att det skydd, som skulle förefinnas för Jordägaren i denna punkt, icke är vidare stort. Konsekvensen av det av mig anförda skulle bliva, att vi borde stanna vid, att Jordägaren skulle, såsom enligt 1918 års lag hava full och uteslutande inköpsrätt. Men då skulle vi därmed draga ett streck över vad jag kallade den mera ideella sidan av saken, nåmligen den synpunkten att den gamla odlaren och egnahemsbebyggaren bör få behålla sitt egnahem. J ag undrar i alla fall, om det skulle</w:t>
        <w:br/>
        <w:br/>
        <w:t>vara alldeles omöjligt att ordna denna sak på något annat sätt, genom en slags tryggad besittningsrätt eller dylikt. I varje fall kan det väl ändå icke ur denna synpunkt vara någon mening i att helt ovidkommande, helt främmande personer komma att besitta lägenheterna. Vi skola komma ihåg, att enligt 8 1 är det icke blott brukaren, som har rätt att tillösa sig egendomen, utan även hans arvingar. När således en brukare dör, komma hans släktingar och arvingar, som kanske aldrig varit på trakten, och göra anspråk på lösningsrätt, icke för att bosätta sig på lägenheten utan för att sälja densamma. Man kan ju säga, att då har jordägaren lika stor möjlighet att inlösa egendomen som någon annan. Men det kan väl ändå vara vissa betänkligheter härvidlag. Det ligger ju bra nära till hands, som jag har sett exempel på, att en dylik person kan lyckas köpa ett sådant hus. Sedan säger han till jordägaren: huset är mitt. Jag skall sälja det till den och den, en mindre välkänd person. Eller: var så god och betala så och så mycket. — Det är väl ändå ett sätt att uppskörta jordägaren, som knappast kan vara riktigt. Det är väl ändå icke därför som lagen skall träda in. Det sätt, varpå lägenheten här skulle ärvas av brukarens arvingar och dessa på samma gång skulle ärva en uppkonstruerad förmögenhet, är verkligen en utsträckning av arvsrätten, som jag för min del icke gärna kan gå med på.</w:t>
        <w:br/>
        <w:br/>
        <w:t xml:space="preserve">Från dessa synpunkter vet jag knappast, vad jag skulle vilja göra med detta lagförslag. Jag vill icke gärna yrka avslag på detsamma. Jag får ju säga, att då 1918 års lag finnes, är faran icke så stor, om det finge bero ännu ett år tills lagförslaget med tillvaratagande av de synpunkter, som jag nu framhållit, komme fram. Men jag skulle snarare vilja yrka återremiss till utskottet, för att utskottet skulle kunna framhålla de synpunkter, jag nu särskilt har påpekat, nämligen en utsträckt inlösningsskyldighet för jordägaren och en inskränkning i husägarens inlösningsrätt i de fall, då det skulle fördärva ägofiguren ' för den kvarvarande egendomen, och framför allt en inskränkning i husägares rätt till inlösen till husägaren själv, hans efterlämnade </w:t>
      </w:r>
      <w:r>
        <w:rPr>
          <w:b/>
        </w:rPr>
        <w:t>änka²</w:t>
      </w:r>
      <w:r>
        <w:rPr>
          <w:b w:val="0"/>
        </w:rPr>
        <w:t xml:space="preserve"> och barn. Vidare skulle jag gärna vilja hava den frågan undersökt, huruvida det icke kunde förbehållas jordägaren rätt till framtida inlösen, i den händelse lägenheten bleve försåld till helt utanför stående. Det ligger onekligen någonting i detta samma förhållande, som jag nyss nämnde, om arvingarna komma att inlösa en lägenhet för att sälja den till helt främmande och kanske mindre välkända personer. På samma sätt kan man tänka sig att det kunde gå, om husägarens barn skulle inlösa lägenheten. Även de skulle kunna försälja den, och det vore väl då icke alldeles vrimligt, om jordägaren hade en rätt att i så fall inlösa egendomen.</w:t>
        <w:br/>
        <w:br/>
        <w:t>Under denna motivering ber jag, herr greve och talman, att få yrka återremiss av detta ärende till utskottet.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355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