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1457</w:t>
      </w:r>
    </w:p>
    <w:p>
      <w:r>
        <w:rPr>
          <w:b/>
        </w:rPr>
        <w:t xml:space="preserve">Datum: </w:t>
      </w:r>
      <w:r>
        <w:t>1920-03-12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Henning Leo (Socialdemokraterna, man)</w:t>
      </w:r>
    </w:p>
    <w:p>
      <w:r>
        <w:rPr>
          <w:b w:val="0"/>
        </w:rPr>
        <w:t>Herr talman! Motionären har ju nu själv 1 sitt anförande desavouerat reservantens uppfattning om hur motionen på</w:t>
        <w:br/>
        <w:br/>
        <w:t>en punkt skall tolkas, och då han nu gjort detta, antar jag. att reservanten är enig med utskottet om att motionen på denna punkt var oantaglig.</w:t>
        <w:br/>
        <w:br/>
        <w:t>Det har ifrån reservantens sida anförts, att utskottet skulle vara för mycket obenägen att låta detta efterlysande ske, därför att det skulle medföra, att kännedomen om barna faderns namn blev för mycket spridd, och att utskottet skulle hava överdrivit dessa obehag. Utskottet säger ju, att det finner dessa obehag vara svåra, men utskottet säger också, att »skulle däremot befinnas, att ett efterlysande av underhållsskyldig för barnet komme att innebära en väsentlig fördel, bör å andra sidan hänsynen för det obehag ett efterlysande åsamkar den underhållsskyldige ej föranleda därtill, att en sådan åtgärd underlåtes». Utskottets hållning i denna sak har således helt och hållet dikterats av dess åsikt om åtgärdens effektivitet. Hade det varit så, att utskottet varit förvissat om eller blott trott, att den åtgärd som motionären föreslagit skulle medföra en verklig fördel för barnet och modern, skulle utskottet säkerligen icke ha tvekat att gå med motionären och därmed ådragit den försumlige barnafadern det obehag, som ett offentligt efterlysande kan medföra. Men det är ju givet, att då man har kommit till den uppfattningen, att den av motionären föreslagna åtgärden icke skulle medföra någon verklig fördel, så kan man väl icke utan vidare gå med på att underhållsskyldiga barnafäder skola efterlysas i polisunderrättelserna. Jag tycker också, att den förda debatten redan visat, hur oklar uppfattningen är även hos anhängarna av motionen rörande dennas effektivitet. Den ärade reservanten har redan släppt den del av yrkandet som går ut på att efterlysandet skall ske även i lanskungörelserna. Jag får emellertid för min del säga, att jag tror, att av dessa båda saker, efterlysning i länskungörelserna och efterlysning i polisunderrättelserna, skulle efterlysning i länskungörelserna kli mest effektiv, därför att dessa kungörelser komma kommunalmännen tillhanda, således de människor som på grund av offentliga förtroendeuppdrag inom kommunerna syssla med barnavård och dylikt och gärför borde vara betydligt mera intresserade därav än polisen i städerna och allmänne åklagaren på landet. Jag vill gentemot motionären säga, att då han tror, att åtgärden skulle vara ineffektiv i de större städerna, därför att poliserna där icke bry sig så mycket om att söka den efterlyste och hava svårt att finna honom, men att däremot åtgärden skulle vara effektiv på landsbygden, så håller Jag före, att denna uppfattning är alldeles falsk. Är det svårt för polisen i en stad att spåra upp en efterlyst individ, är det tydligen bra mycket svårare exempelvis för landsfiskalen i ett stort distrikt med flera mils omkrets att taga reda på alla människor, som taga arbete i skogarna och vid lantbruket.</w:t>
        <w:br/>
        <w:br/>
        <w:t xml:space="preserve">Vi hava inom utskottet alla varit av den bestämda uppfattningen, att om det funnes något att göra åt denna sak i barnets och </w:t>
      </w:r>
      <w:r>
        <w:rPr>
          <w:b/>
        </w:rPr>
        <w:t>moderns²</w:t>
      </w:r>
      <w:r>
        <w:rPr>
          <w:b w:val="0"/>
        </w:rPr>
        <w:t xml:space="preserve"> intresse, så borde det göras, men vi ha också varit av den bestämda uppfattningen, att den föreslagna åtgärden icke skulle leda till. någon fördel för dem man vill hjälpa. Att under sådana förhållanden biträaa motionen hade blott blivit att ingiva de intresserade den tanken</w:t>
        <w:br/>
        <w:br/>
        <w:t>och känslan, att något verkligen hade skett, som de sedan kunde slå sig till ro med. Jag hoppas, att motionären, som livligt intresserar sig för denna fråga, skall vid ett närmare studium själv finna, att de åtgärder som 1 motionen föreslagits icke skulle leda till något effektivt resultat, och att han i stället tillsammans med andra för frågan intresserade skall arbeta på att få fram förslag till åtgärder som verkligen visa sig kunna vara effektiva.</w:t>
        <w:br/>
        <w:br/>
        <w:t>Jag ber, herr talman, att få yrka bifall till utskottets hemställan.</w:t>
      </w:r>
    </w:p>
    <w:p>
      <w:pPr>
        <w:pStyle w:val="Heading2"/>
      </w:pPr>
      <w:r>
        <w:t>2. Jakob Pettersson (Liberala riksdagspartiet, man)</w:t>
      </w:r>
    </w:p>
    <w:p>
      <w:r>
        <w:rPr>
          <w:b w:val="0"/>
        </w:rPr>
        <w:t>Den siste ärade talaren framhöll, att utskottets huvudsakliga skäl för avslag av motionen var, att den av motionären och mig gemensamt förordade åtgärden icke skulle vara effektiv. Jag vet mycket väl, att detta är den ärade talarens huvudsakliga skäl eller kanske enda skäl för avslag, men Jag bestrider, att det är utskottets huvudsakligaste och ännu mindre enda skäl för avstyrkande. Det står nämligen i utskottsbetänkandet, långt ned på andra sidan: »Utskottet vill till en början framhålla, att ett efterlysande av underhållsskyldig för fastställande av barnets börd och därav följande underhållsskyldighet, på sätt i motionen föreslagits, uppenbarligen ej bör ifrågakomma.» Detta är uppenbarligen en principiell ståndpunkt. Utskottet motsätter sig principiellt ett efterlysande i polisunderrättelserna av en person, vars underhållsskyldighet icke blivit genom laga dom fastställd. Det var också den ärade talarens ståndpunkt, som närmast efter mig uppträdde och förde utskottets talan, nämligen herr Hederstierna. Han ansåg, att det icke borde få förekomma, att man efterlyste en person i polisunderrättelserna, då hans underhållsplikt icke var fastställd genom laga dom. Han åberopade gentemot mig förordningen om förbud att i vissa fall avflytta från riket och framhöll, att man visserligen kunde få en försumlig försörjare, som ämnade avflytta från riket efterlyst, men endast i fall hans underhållsplikt var fastställd genom dom. Detta är riktigt. Men jag vill erinra herr Hederstierna, att enligt 13 &amp; i lagen om barn utom äktenskap barnavårdsman äger ej blott att själv eller genom ombud föra talan för barnet rörande faderskap, underhåll och förmynderskap m. m., utan även att anlita polismyndigheten för underhållsskyldigs efterforskande eller hörande och för verkställande av delgivningar. Detta innebär, såvitt jag kan finna, att barnavårdsman har rätt att få polismyndighetens hjälp till efterspanande av en person, som han på grundade skäl anser vara underhållspliktig, men vars underhållsplikt icke är fastställd genom laga dom. Således kan redan enligt gällande lag en barnavårdsman erhålla polismyndighets hjälp medelst telefonering eller skriftväxling med annan polismyndighet till att efterspana en person som anses vara barnafader. Men han får icke på det sättet hjälp av polismyndigheterna, att ifrågavarande person får efterlysas i polisunderrättelserna, såsom motionären och jag föreslå. Det synes mig, att den av mig förordade förändringen står mycket väl tillsammans med den principiella ståndpunkt, som lagstiftningen redan nu intager.</w:t>
      </w:r>
    </w:p>
    <w:p>
      <w:pPr>
        <w:pStyle w:val="Heading2"/>
      </w:pPr>
      <w:r>
        <w:t>3. Karl Sandberg (Liberala samlingspartiet, man)</w:t>
      </w:r>
    </w:p>
    <w:p>
      <w:r>
        <w:rPr>
          <w:b w:val="0"/>
        </w:rPr>
        <w:t>Herr talman! Jag skall be att få säga ett par ord i denna fråga.</w:t>
        <w:br/>
        <w:br/>
        <w:t>Ehuru jag helst hade sett, att utskottet tillstyrkt bifall till den av mig m. fl. väckta motionen och icke alldeles delar uskottets farhågor för en hotande smittkoppsfara, då våra kommunikationer österut komma att öppnas, vill och vågar jag icke mot ett enhälligt utskott yrka bifall till min motion, synnerligen som utskottet i slutet av mitt betänkande enhälligt uttalat sig för en mildare tolkning av den s. k. samvetsklausulen i'3 mom. 8 5 av 1916 års lag om skyddskoppsympning. Ty det sätt, på vilket medicinalstyrelsen tillämpat detta moment av lagen, verkar ju nästan som ett hån och framkallar en känsla av förtrytelse eller löje. Av 51 ansökningar om befrielse har denna ärade styrelse icke bifallit en — säger en — på dessa år. De fyra, som blivit befriade, ha blivit det genom Kungl. Maj:t, varav man finner att Kungl. Maj:t mera uppfattat samvetsklausulens mening och bättre tillämpat den än vad medicinalstyrelsen gjort. Ty nog var det en tämligen allmän mening bland de riksdagmän, som voro tvehågsna om skyddskoppsympningens nödvändighet, och som motvilligt gingo med på dess antagande, att den s. k. samvetsklausulen skulle verka annorlunda än den gjort. Vad skall man besvära folk och myndigheter för, om resultatet blir så ömkligt minimalt? De, som blivit befriade från urbota straff, torde varit flera på dessa snart fyra år än de, som sluppit undan att låta ympa sina barn, även om de framburit rätt så allvarliga och talande skäl därför. Jag är som sagt tacksam mot utskottet, som understrukit detta och uttalat sig för en humanare tillämpning av momentet i fråga. Jag tror, att om man vill undvika en vaccinationsstrids uppblossande, är det klokt att handskas humant med de samvetsömma.</w:t>
        <w:br/>
        <w:br/>
        <w:t xml:space="preserve">Och jag tror också, att kammaren ger mig rätt däri, att så överhängande kan icke smittkoppsfaran vara, ej heller faran för svenska folkhälsan så stor, att det icke vore råd att för varje år ge mer än en — säger en far eller </w:t>
      </w:r>
      <w:r>
        <w:rPr>
          <w:b/>
        </w:rPr>
        <w:t>mor²</w:t>
      </w:r>
      <w:r>
        <w:rPr>
          <w:b w:val="0"/>
        </w:rPr>
        <w:t>, som är orolig för sitt barns hälsa, befrielse från vaccinationstvånget, helst dessa föräldrar bo ute i landsbygden, där smittkoppor sällan eller aldrig uppträda. Då barnen bli större, kunna de ju för övrigt själva låta vaccinera sig, om de så önska. Det är bra att vara rädd för faran, men en så stor förskräckelse för en fara, som i våra dagar visar sig mindre och mindre tack vare sanitära och hygieniska förbättringar av alla slag, att man</w:t>
        <w:br/>
        <w:br/>
        <w:t>icke kan befria mer än en samvetsöm om året — och detta först genom Kungl. Maj:ts ynnest — från vaccinationstvånget, tror jag är överdriven.</w:t>
        <w:br/>
        <w:br/>
        <w:t>Jag tackar än en gång utskottet för dess påfallande uttalande om denna sak.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