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360</w:t>
      </w:r>
    </w:p>
    <w:p>
      <w:r>
        <w:rPr>
          <w:b/>
        </w:rPr>
        <w:t xml:space="preserve">Datum: </w:t>
      </w:r>
      <w:r>
        <w:t>1920-03-22</w:t>
      </w:r>
    </w:p>
    <w:p>
      <w:r>
        <w:rPr>
          <w:b/>
        </w:rPr>
        <w:t xml:space="preserve">Kammare: </w:t>
      </w:r>
      <w:r>
        <w:t>Första kammaren</w:t>
      </w:r>
    </w:p>
    <w:p>
      <w:r>
        <w:rPr>
          <w:b/>
        </w:rPr>
        <w:t xml:space="preserve">Antal yttranden: </w:t>
      </w:r>
      <w:r>
        <w:t>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Samuel Clason (Första kammarens nationella parti, man)</w:t>
      </w:r>
    </w:p>
    <w:p>
      <w:r>
        <w:rPr>
          <w:b w:val="0"/>
        </w:rPr>
        <w:t xml:space="preserve">I det föreliggande betänkandet föreslås, såsom kammaren behagade finna, två saker. Den ena är att förbudet mot </w:t>
      </w:r>
      <w:r>
        <w:rPr>
          <w:b/>
        </w:rPr>
        <w:t>prinsessors³</w:t>
      </w:r>
      <w:r>
        <w:rPr>
          <w:b w:val="0"/>
        </w:rPr>
        <w:t xml:space="preserve"> giftermål med svensk man utom det kungl. huset skall upphävas. Om att det förbudet skall borttagas, ha alla utskottets 1edamöter varit ense. Därom har således icke varit någon meningsskiljaktighet. Men beträffande den punkten ha vi också varit ense om en annan sak. Vi ha varit ense om att deras ställning såsom medlemmar av det kungl. huset i alla fall förutsätter att ett dylikt gifiermål icke må ske utan konungens vetskap och samtycke. Vi ha sålunda varit ense om att i den punkten i alla fall något band på rörelsefriheten bör kvarstå, och för den saken lärer icke några skäl behöva anföras. Således om den saken äro vi ense, och jag vill därför yrka bifall till utskottets hemställan beträffande $ 6.</w:t>
        <w:br/>
        <w:br/>
        <w:t xml:space="preserve">Andra punkten av utskottets förslag, rörande 8 7, gäller däremot frågan om prinsars och </w:t>
      </w:r>
      <w:r>
        <w:rPr>
          <w:b/>
        </w:rPr>
        <w:t>prinsessors³</w:t>
      </w:r>
      <w:r>
        <w:rPr>
          <w:b w:val="0"/>
        </w:rPr>
        <w:t xml:space="preserve"> rätt att resa utrkes. Hittills har</w:t>
        <w:br/>
        <w:br/>
        <w:t>härtill fordrats konungens vetskap och samtycke. Det vill utskottets majoritet taga bort, medan reservanterna därvidlag varit ense om att denna föreskrift är alldeles naturlig och att den därför bör bibehållas. Varför vilja vi göra det? Jag skulle då endast i förbigående vilja erinra kammaren därom, att, enligt den gamla och goda regeln i fråga om grundlagsstiftning, konstitutionsutskottet endast har att föreslå sådana grundlagsändringar, som äro högst nödiga och nyttiga, och jag skulle vilja framställa frågan, om det verkligen finnes någon som vill påstå, att detta ändringsförslag fyller det måttet. Men jag tror mig kunna säga, att i alla fall vi skulle låtit det passera, om vi kunnat ena oss om att det ens vore oskadligt, men det ha vi icke kunnat, och jag skall tillåta mig anföra några skäl.</w:t>
        <w:br/>
        <w:br/>
        <w:t>Det första hämtar jag från utskottets egen ståndpunkt, då utskottet yrkar på, att förbudet mot utrikes resa utan konungens samtycke skall bibehållas för tronföljaren. Utskottet anser sålunda — enligt min uppfattning med fullkomlig rätt — act åtminstone han står i den särställning till riket och riksstyrelsen att hans utrikesresor icke må företagas godtyckligt eller utan att konungen därtill givit sitt samtycke. När emellertid utskottet gör detta måste det na- 'turligtvis bero därpå, att han står tronen och riksstyrelsen så nära, eller med andra ord att han i de fall, som föreskrivas i regeringsformen $ 39 och $ 40, d. v. s. under konungens sjukdom eller utrikes resa, automatiskt enligt grundlagea inträder såsom regent, därest han är myndig. Men utskottet synes i detta fall fullständigt hava förbisett, att alldeles samma förpliktelse att automatiskt inträla såsom regent i dylika fall enligt samma paragrafer åligger icke blott tronföljaren. utan även tronföljarens son, om 'tronföljaren har förfall. Fallet är icke alldeles uppkonstruerat: för icke så synnerligen många år sedan förekommo faktiskt exempel därpå. Alltså, grundlagen känner två prinsar, som automatiskt under vissa förhållanden inträda såsom regenter i riket och sålunda stå riksstyrelsen ytterst nära. Den ene skall enligt utskottets nu föreliggande förslag före en utrikes resa inhämta konungens samtycke, den andre skulle icke behöva göra det. Jag frågar: är det verkligen rimligt att skriva grundlag på detta sätt? För den ene skulle konungens samtycke behövas, för den andre icke! Enligt min uppfattning saknas varje logik i en sådan grundlagsstiftning och det är ett av mina skäl för avslag. Att även andra prinsar än tronföljaren eller hans son kunna erhålla förordnande att föra regeringen i riket enligt en annan paragraf i grundlagen, kan man i förbigående erinra om, varför även beträffande dem det skälet kunde anses föreligga att för en utrikes resa de böra inhämta konungens samtycke.</w:t>
        <w:br/>
        <w:br/>
        <w:t>Mitt andra avslagsskäl består däri, att den gamla bestämmelsen om förbud för prins att resa utomlands utan konungens samtycke sedd i sammanhang med andra bestämmelser i grundlagen, i själva verket i praktiken innebär mer, än den vid första ögonblicket synes innebära. Det finnes nämligen en annan paragraf i grundlagen, $ 45 i regeringsformen. som förbjuder prins att innehava civilt</w:t>
        <w:br/>
        <w:br/>
        <w:t>ämbete i riket. alltså i detta avseende lägger ett visst band på rörelsefriheten, något som utskottet i sitt utlåtande i allmänhet tyckes hava så mycket emot. Emot att en prins skulle gå i främmande tjänst, finnes däremot icke annat förbud än ifrågavarande bestämmelse om konungens tillstånd för utrikes resa. Den bestämmelsen har nämligen av ålder räknats såsom ett förbud, såsom dea ock faktiskt varit, för att en svensk prins skulle kunna gå i främmande tjänst. Det är förresten ett alldeles naturligt förbud. Ändrar man emellertid successionsordningen, som utskottet nu föreslår, utan att samtidigt ändra ifrågavarande paragraf i regeringsformen, så blir resultatet det, att kvar i grundlagen står förbud för prins att mottaga svenskt civilt ämbete, medan däremot intet förbjuder honom att inträda i främmande makts tjänst. Jag frågar: är det verkligen rimligt att skriva grundlag på detta sätt?</w:t>
        <w:br/>
        <w:br/>
        <w:t>Mitt tredje skäl består däri, att jag även på andra grunder måste anse nuvarande bestämmelser både, såsom jag redan sagt, helt naturliga och under vissa omständigheter gagneliga för riket. Vår grundlag är i allmänhet skriven på grund av historisk erfarenhet, den är skriven på lång sikt, och jag tror, atc även när man ändrar den, man skall hava idetta för ögonen och ändra på lång sikt. Tänken eder, mina herrar, att här i landet funnes en ung, energisk prins, brinnande av verksamhetslust och kanhända med en smula eldigt blod. Sådana ha ju faktiskt funnits — tänken eder vidare att under rådande oro i världen exempelvis från en grannstat eller från en viss grupp inom denna grannstat man ropade honom till sig såsom hjälpare i hopp att hans bistånd skulle hjälpa antingen direkt eller genom de följder som det skulle draga med sig; tänken eder vidare, att här inom landet funnes ett parti eller en meningsgrupp som ville ha honom dit för avt Sverige på detta sätt skulle dragas in i någon viss intressesfär — man skulle möjligen och mycket väl med ett slagord från senare tid kunna kalla dem aktivister eller dylikt! Det behövde icke vara av någon dålig bevekelsegrund vare sig hos honom eller hos andra; den kunde vara mycket aktningsvärd, exempelvis känslan av att ett sådant uppträdande skulle vara till gagn för världen eller till gagn för Sverige. Men i alla fall kunde det vara så, att förverkligandet av dessa idéer, d. v. s. hans ingripande i den utländska krisen skulle vara till skada för landet. Exemplet är icke alls uppkonstruerat. Man skulle icke behöva gå alltför många decennier tillbaka i tiden för att finna bakgrunden därtill. Jag tycker för min del, att det vore helt naturligt och för landet ytterst gagneligt, om uti ifrågavarande fall det fordrades konungens samtycke, innan denne prins gav sig utomlands och kastade sig in i främmande äventyr; och även med hänsyn därtill kan jag icke vara med om att ur grundlagen borttaga ett enligt min tanke så ytterst naturligt stadgande och i verkligheten ganska litet bindande eller besvärligt stadgande, som säger, att prins av det kungl. huset för att få resa utomlands skall inhämta konungens samtycke.</w:t>
        <w:br/>
        <w:br/>
        <w:t>Jag skall således yrka bifall till lagändringen i avseende å</w:t>
        <w:br/>
        <w:br/>
        <w:t>S 6, men avslag å lagändringen beträffande $ 7, och hemställer, herr talman, om särskild proposition på båda dessa paragrafer.</w:t>
      </w:r>
    </w:p>
    <w:p>
      <w:pPr>
        <w:pStyle w:val="Heading2"/>
      </w:pPr>
      <w:r>
        <w:t>2. Östen Unden (Socialdemokraterna, man)</w:t>
      </w:r>
    </w:p>
    <w:p>
      <w:r>
        <w:rPr>
          <w:b w:val="0"/>
        </w:rPr>
        <w:t xml:space="preserve">Jag kan icke neka till, att det förefaller mig något överraskande att iakttaga ett så energiskt motstånd från den föregående ärade talarens sida mot denna lilla reform. Herr Clason förde fram den gamla satsen, att ändringar i grundlagen icke må av konstitutionsutskottet föreslås, om de icke äro högst nödiga eller nyttiga. Ingen hade väl heller väntat, att konstitutionsutskottet här skulle taga något initiativ till reform. Men då regeringen lagt fram detta förslag, har det givetvis varit därför, att regeringen haft anledning antaga, att denna inskränkning i vederbörandes rörelsefrihet förefallit dem vara onödig. Det har nu från herr Clasons sida konstruerats vissa tänkbara fall, då det kunde visa sig olägligt, att prins vore bortrest i främmande land, av det skäl att han kunde behövas här i landet såsom regent. Ja, sådana fall kunna Ju tänkas, men något sådant kan också inträffa, om han rest utomlands med konungens samtycke, ty det är givet, att man icke alltid på förhand kan förutse, huruvida en sådan situation kommer att inträffa under hans utomlandsvistelse. Jag tror icke heller man behöver fästa alltför stor vikt vid de farhågor, den föegående ärade talaren framförde, då han utmålade, hurusom det kunde uppstå kritiska situationer, om en prins skulle på ett eller annat sätt engagera sig i främmande lands tjänst, och att man således skulle behöva ett särskilt stadgande om förbud mot deras antagande av ämbete i främmande land o. s. v. För min del tror jag, att våra prinsar, och här är det ju även fråga om våra </w:t>
      </w:r>
      <w:r>
        <w:rPr>
          <w:b/>
        </w:rPr>
        <w:t>prinsessor³</w:t>
      </w:r>
      <w:r>
        <w:rPr>
          <w:b w:val="0"/>
        </w:rPr>
        <w:t>, framdeles, likaväl som hittills, skola visa det omdöme, att de icke utsätta sitt land för några slags olämpliga komplikationer. Jag tror således, att kammaren med full trygghet kan bifalla den kungl. propositionen.</w:t>
      </w:r>
    </w:p>
    <w:p>
      <w:pPr>
        <w:pStyle w:val="Heading2"/>
      </w:pPr>
      <w:r>
        <w:t>3. August Ljunggren (Frisinnade folkpartiet, man)</w:t>
      </w:r>
    </w:p>
    <w:p>
      <w:r>
        <w:rPr>
          <w:b w:val="0"/>
        </w:rPr>
        <w:t>Efter anförandet från statsrådsbänken kanske det icke vore nödvändigt att säga något vidare. Men då det väl ändå bör sägas något även från utskottets sida, har jag tillåtit mig begära ordet.</w:t>
        <w:br/>
        <w:br/>
        <w:t>Givetvis är denna fråga, så vitt jag förstår, av mycket ringa betydelse. Jag tror icke det spelar någon större roll, vare sig bestämmelsen står kvar sådan den är, eller den ändras på det sätt Kungl. Maj:t och utskottet föreslagit. Men då herr Clason sökt göra gällande, att det skulle innebära vissa olägenheter för riksstyrelsen, eftersom det i vissa fall skulle kunna inträffa, att en prins enligt grundlagen skulle inträda som regent, vill jag erinra om stadgandet, att i så fall det kan bliva tillförordnad regering och att riksstyrelsen således icke behöver åsidosättas genom antagande av detta förslag.</w:t>
        <w:br/>
        <w:br/>
        <w:t>Sedan förefaller det mig ändå, som om herr Clason och hans medreservanter nog något överdrivit betydelsen av kunglighetens inslag på detta område. Jag tror knappt att, även om det skulle kunna inträffa, vad herr Clason här utmålat, det kunde för rikets säkerhet medföra de faror som han trodde. Det skulle till och med kunna anföras</w:t>
        <w:br/>
        <w:br/>
        <w:t>Om vissa fall, då personer i mycket mer inflytelserik ställning än de prinsar, kungliga perdet här gäller, gjort utrikes resor och haft uttalanden, utan att detta</w:t>
        <w:br/>
        <w:br/>
        <w:t>i någon mån så vitt man kan se, inverkat skadligt på rikets förhållande till främmande makter.</w:t>
        <w:br/>
        <w:br/>
        <w:t>Och så skulle jag vilja fråga herr Clason, med anledning av det exempel han här konstruerat, att en ung energisk prins skulle kunna resa utomlands och därifrån ställa till svårigheter för landet: tror herr Clason icke, att samma prins i dylika fall skulle kunna taga sig utom landet även utan Konungens samtycke? Om en sådan situation skulle uppstå, föreställer jag mig att, därest det strede mot den regerande konungens uppfattning, betydde det väl knappast så mycket, vilken mening han hade i det fallet. Så jag tror, att man även ur den synpunkten kan vara lugn för att de nuvarande bestämmelserna icke erbjuda den garanti, som reservanterna tro. Emellertid, som sagt, är det så, att kammaren liksom reservanterna tror, att rikets säkerhet beror på ett stadgande i grundlagen, så är det ju tillfälle att ådagalägga detta genom antagandet av reservanternas förslag. Men då jag för. min del har en annan uppfattning, tillåter jag mig att yrka bifall till utskottets förslag.</w:t>
      </w:r>
    </w:p>
    <w:p>
      <w:pPr>
        <w:pStyle w:val="Heading2"/>
      </w:pPr>
      <w:r>
        <w:t>4. Mauritz Hellberg (Liberala riksdagspartiet, man)</w:t>
      </w:r>
    </w:p>
    <w:p>
      <w:r>
        <w:rPr>
          <w:b w:val="0"/>
        </w:rPr>
        <w:t>Den här föreslagna grundlagsändringen förefaller mig närmast vara ett försök att sätta en ny klut på ett gammalt kläde, som redan är så förslitet, att det borde helt avläggas.</w:t>
        <w:br/>
        <w:br/>
        <w:t xml:space="preserve">Jag har inte deltagit i utskottets behandling av ärendet. Men jag finner det mänskligt och billigt, att det medgives unga </w:t>
      </w:r>
      <w:r>
        <w:rPr>
          <w:b/>
        </w:rPr>
        <w:t>prinsessor³</w:t>
      </w:r>
      <w:r>
        <w:rPr>
          <w:b w:val="0"/>
        </w:rPr>
        <w:t xml:space="preserve"> möjlighet att liksom andra svenska </w:t>
      </w:r>
      <w:r>
        <w:rPr>
          <w:b/>
        </w:rPr>
        <w:t>kvinnor¹</w:t>
      </w:r>
      <w:r>
        <w:rPr>
          <w:b w:val="0"/>
        </w:rPr>
        <w:t xml:space="preserve"> få välja make efter sitt hjärtas fria val. Helst skulle jag hava sett, att man likställt dem i rättigheter med vanliga </w:t>
      </w:r>
      <w:r>
        <w:rPr>
          <w:b/>
        </w:rPr>
        <w:t>kvinnor¹</w:t>
      </w:r>
      <w:r>
        <w:rPr>
          <w:b w:val="0"/>
        </w:rPr>
        <w:t>.</w:t>
        <w:br/>
        <w:br/>
        <w:t xml:space="preserve">Däremot står jag i fråga om den senare delen av förslaget på samma ståndpunkt som utskottets vice ordförande. Jag kan icke hjälpa, att jag tycker, att det kan medföra betänkliga konsekvenser, om en kunglig person under kritiska förhållanden ute i världen fritt får resa utomlands. Om någon förändring i bestämmelserna om prinsars och </w:t>
      </w:r>
      <w:r>
        <w:rPr>
          <w:b/>
        </w:rPr>
        <w:t>prinsessors³</w:t>
      </w:r>
      <w:r>
        <w:rPr>
          <w:b w:val="0"/>
        </w:rPr>
        <w:t xml:space="preserve"> utrikesresor skulle företagas hade det snarare varit välbetänkt att utsträcka dessa bestämmelser för den händelse enligt det framlagda förslaget till revision av giftermålsbalken mannens målsmanskap över </w:t>
      </w:r>
      <w:r>
        <w:rPr>
          <w:b/>
        </w:rPr>
        <w:t>hustrun²</w:t>
      </w:r>
      <w:r>
        <w:rPr>
          <w:b w:val="0"/>
        </w:rPr>
        <w:t xml:space="preserve"> bortfaller, så att gällande förbud kommer att omfatta även drottningen.</w:t>
        <w:br/>
        <w:br/>
        <w:t>Jag kan således för min del icke vara med om den föreslagna förändringen av paragrafen utan ber därför att få instämma i utskottets vice ordförandes yrkande.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360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