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1460</w:t>
      </w:r>
    </w:p>
    <w:p>
      <w:r>
        <w:rPr>
          <w:b/>
        </w:rPr>
        <w:t xml:space="preserve">Datum: </w:t>
      </w:r>
      <w:r>
        <w:t>1920-04-10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Röing (Liberala samlingspartiet, man)</w:t>
      </w:r>
    </w:p>
    <w:p>
      <w:r>
        <w:rPr>
          <w:b w:val="0"/>
        </w:rPr>
        <w:t>Herr vice talman! Jag är i huvudsak förekommen av den siste ärade talaren. Jag har redan instämt i det anförande, som herr Leander nyss höll, och därav kunna kammarens ledamöter finna, vilken ståndpunkt jag intar i denna fråga.</w:t>
        <w:br/>
        <w:br/>
        <w:t xml:space="preserve">Jag begärde ordet med anledning av herr Sommelius” anförande, då han ansåg lämpligt, att nu, då ett förslag behandlades om pension till </w:t>
      </w:r>
      <w:r>
        <w:rPr>
          <w:b/>
        </w:rPr>
        <w:t>änkan²</w:t>
      </w:r>
      <w:r>
        <w:rPr>
          <w:b w:val="0"/>
        </w:rPr>
        <w:t xml:space="preserve"> efter en pioniär på flygväsendets område, använda tillfället i stället för att göra det då ett avslagsyrkande föreligger på vederbörande huvudtitel rörande vårt flygväsende, att utveckla sina synpunkter rörande bristerna i materialet i våra flygmaskiner, i den pedagogiska undervisningen o. s. v. Jag anser som herr Swartling, att den frågan hör väl icke det allra minsta till den föreliggande motionen, huruvida kammaren nu bör lämna en pension till </w:t>
      </w:r>
      <w:r>
        <w:rPr>
          <w:b/>
        </w:rPr>
        <w:t>änkan²</w:t>
      </w:r>
      <w:r>
        <w:rPr>
          <w:b w:val="0"/>
        </w:rPr>
        <w:t xml:space="preserve"> efter pioniären på flygväsendets område, friherre Cederström eller icke.</w:t>
        <w:br/>
        <w:br/>
        <w:t xml:space="preserve">Jag förstår mycket väl, att utskottets ledamöter av vissa rent formella skäl kunna hava fog för sin ståndpunkt; men utan att på något sätt vilja jämföra den livsgärning, som friherre Cederström utfört, med till exempel den, som Emil Sjögren under sin levnad atförde på tonkonstens område, så är det likväl icke mer än två år, sedan andra kammaren beviljade en pension till hans </w:t>
      </w:r>
      <w:r>
        <w:rPr>
          <w:b/>
        </w:rPr>
        <w:t>änka²</w:t>
      </w:r>
      <w:r>
        <w:rPr>
          <w:b w:val="0"/>
        </w:rPr>
        <w:t xml:space="preserve">. Det gladde mig mycket, när det förslaget biträddes av andra kammaren. Emil Sjögren var en man, till vilken nationen stod och står i stor tacksamhetsskuld, och det var icke mer än rätt, att hans </w:t>
      </w:r>
      <w:r>
        <w:rPr>
          <w:b/>
        </w:rPr>
        <w:t>änka²</w:t>
      </w:r>
      <w:r>
        <w:rPr>
          <w:b w:val="0"/>
        </w:rPr>
        <w:t xml:space="preserve"> fick röna denna erkänsla från riksdagens sida för sin mans livsgärning. Jag vill ännu en gång framhålla: jag vill icke framställa det livsverket med vad en pioniär på flygväsendets område utfört, men det må jag hava rätt att påstå, att friherre Cederström under sin levmad utförde ett verk på flygväsendets område, för vilket nationen står i stor tacksamhet. Jag anser nu liksom för två år sedan, då</w:t>
        <w:br/>
        <w:br/>
        <w:t xml:space="preserve">en liknande fråga förekom, att riksdagen borde visa sin erkänsla för ett sådant livsverk, och det skulle glädja mig, om andra kammaren nu liksom för två år sedan, då pension till Emil Sjögrens </w:t>
      </w:r>
      <w:r>
        <w:rPr>
          <w:b/>
        </w:rPr>
        <w:t>änka²</w:t>
      </w:r>
      <w:r>
        <w:rPr>
          <w:b w:val="0"/>
        </w:rPr>
        <w:t xml:space="preserve"> var före, avsloge utskottets hemställan och bifölle motionen.</w:t>
        <w:br/>
        <w:br/>
        <w:t>Jag ber, herr talman, att få förena mig i det yrkande, som herr Leander framställt.</w:t>
      </w:r>
    </w:p>
    <w:p>
      <w:pPr>
        <w:pStyle w:val="Heading2"/>
      </w:pPr>
      <w:r>
        <w:t>2. Emil Kristensson (Socialdemokraterna, man)</w:t>
      </w:r>
    </w:p>
    <w:p>
      <w:r>
        <w:rPr>
          <w:b w:val="0"/>
        </w:rPr>
        <w:t>Herr talman! Det har nu mobiliserats nästan all den vältalighet, som denna kammare kan prestera till förmån för herr Leanders motion, och vid sådant förhållande tjänar det kanske icke mycket till, att man från utskottets sida försöker återföra herrarna till verkligheten.</w:t>
        <w:br/>
        <w:br/>
        <w:t xml:space="preserve">Det är nog icke på det sättet, som herr Leander ville göra gällande, att utskottet har vänt upp och ned på de principer, som varit gällande i fråga om dessa pensioners beviljande, ty det är nog så, att det tvärtom är motionärerna, som hava gått långt utöver de principer, som hittills varit vanliga. Vad är det, om vi gå skalan igenom, för några, åt vilkas efterlevande eller anhöriga riksdagen förut beviljat pension under den motiveringen, att man velat hedra en persons minne med en nationalbelöning? Jo det är först och främst deltagarna i Vegafärden, vidare professor Sunlbärgs </w:t>
      </w:r>
      <w:r>
        <w:rPr>
          <w:b/>
        </w:rPr>
        <w:t>moder²</w:t>
      </w:r>
      <w:r>
        <w:rPr>
          <w:b w:val="0"/>
        </w:rPr>
        <w:t>, vidare tonsättaren Sjögren, såsom nämndes. Jag kan icke i detta ögonblick erinra mig flera fall, utom ett par fall som icke äro fullt analoga med detta, där det också gällde framstående vetenskapsmän eller män, som hedrat landet vitt omkring och vunnit europeisk ryktbarhet. Det är fråga om de svenska män, som varit anställda vid Pulkovainstitutet och för vilka ryska staten indragit pensionerna. Åt dem har svenska riksdagen lämnat ersättning.</w:t>
        <w:br/>
        <w:br/>
        <w:t xml:space="preserve">Jag tror, att var och en av herrarna, som ville se detta ärende sakligt och icke låta känslostämningar taga alltför stor överhand. skall nödgas erkänna, att det dock är en himmelsvid skillnad 'mellan det fall, som nu föreligger, och de fall jag nyss erinrat om. Om man här släpper loss lammluckorna, kan jag icke se, var det skall sluta. Jag kan icke se, varför icke herr Thulins </w:t>
      </w:r>
      <w:r>
        <w:rPr>
          <w:b/>
        </w:rPr>
        <w:t>änka²</w:t>
      </w:r>
      <w:r>
        <w:rPr>
          <w:b w:val="0"/>
        </w:rPr>
        <w:t xml:space="preserve"> i Landskrona är fullt lika berättigad till pension som friherre Cederströms. Även han var föregångare på sitt område inom flygkonsten. Och jag förstår icke varför man skall stanna vid flygkonsten. Det finns så många andra områden, till exempel där ingenjörsvetenskapen bryter sig fram, eller där det kanske gällt rena sportbragder, vid vilka det även kan tänkas sådana intressen. Jag förstår icke varför icke även sådana fall skulle komma med, t. ex. om det gällde en per: son, som gått i spetsen för användningen av kraftiga och snabba automobiler och därvid gjort goda insatser och fört maskiner, som uppvisat rekord i ett eller annat hänseende? Varför skola icke också dessa föregångsmän vara berättigade till statspension? Man</w:t>
        <w:br/>
        <w:br/>
        <w:t>kan taga en massa andra exempel. Det är detta, som varit avgörande inför utskottet. Vi hava ansett, att vi i detta fall såsom utskottsledamöter icke kunnat gå ifrån detta och skapa ett preju- :' dicerande fall, som hittills icke förekommit. Dessutom vill jag erinra om, enligt vad utskottet också säger, att utskottet ioke funnit sig övertygad om, att verkligt behov av understöd är för handen Det skriver icke utskottet, om det icke har tagit reda på de ekoaomiska omständigheter, som verkligen föreligga. Jag ber att få yrka bifall till mtskottets hemstillan.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1460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