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368</w:t>
      </w:r>
    </w:p>
    <w:p>
      <w:r>
        <w:rPr>
          <w:b/>
        </w:rPr>
        <w:t xml:space="preserve">Datum: </w:t>
      </w:r>
      <w:r>
        <w:t>1920-04-17</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Östen Unden (Socialdemokraterna, man)</w:t>
      </w:r>
    </w:p>
    <w:p>
      <w:r>
        <w:rPr>
          <w:b w:val="0"/>
        </w:rPr>
        <w:t xml:space="preserve">Då herr Westman i sitt anförande ansåg, att bestämmelsen i denna paragraf skulle komma i strid med tendenser i den moderna jordpolitiken, ber jag få framhålla, att såvitt jag förstår, finnes det inga moderna tendenser i den riktningen, att man vill på något vis stärka släktens rätt till jorden. Här skulle man ju nämligen förekomma den befarade splittringen av Jordegendomen på den efterlevande makens bekostnad och till arvingarnas fördel. Vill man — och det är ju en befogad önskan — vidtaga åtgärder till förekommande av splittring, bör det ske utan förfördelande av efterlevande makes rätt, och helt säkert kommer man då att slå in på andra banor, än man skulle göra om man toge herr Westmans förslag. Det är i sammanhang med skifteslagstiftningen och arvslagstiftningen man har anledning att beakta det spörsmålet. Jag vill också understryka, val herr Alexanderson redan antytt, att denna fråga har en annan sida, nämligen förfoganderätten över fast egendom. Det är en gammal önskan, att den nuvarande bestämmelsen om rätt för mannen att utan </w:t>
      </w:r>
      <w:r>
        <w:rPr>
          <w:b/>
        </w:rPr>
        <w:t>hustruns²</w:t>
      </w:r>
      <w:r>
        <w:rPr>
          <w:b w:val="0"/>
        </w:rPr>
        <w:t xml:space="preserve"> samtycke sälja gemensam fast egendom, skulle upphävas, och att man således skulle likställa gemensam fast egendom med enskild fast egendom under </w:t>
      </w:r>
      <w:r>
        <w:rPr>
          <w:b/>
        </w:rPr>
        <w:t>hustruns²</w:t>
      </w:r>
      <w:r>
        <w:rPr>
          <w:b w:val="0"/>
        </w:rPr>
        <w:t xml:space="preserve"> förvaltning. TIfall man skulle utesluta den fasta egendomen från giftorättsgolset, då förfalla alla regler om vårdnaden och inskräkning i dispositionsrätten. Jag tror därför, att det vore mycket betänkligt att antaga reservationen.</w:t>
      </w:r>
    </w:p>
    <w:p>
      <w:pPr>
        <w:pStyle w:val="Heading2"/>
      </w:pPr>
      <w:r>
        <w:t>2. Assar Åkerman (Socialdemokraterna, man)</w:t>
      </w:r>
    </w:p>
    <w:p>
      <w:r>
        <w:rPr>
          <w:b w:val="0"/>
        </w:rPr>
        <w:t>Jag anhåller att få meddela, att andra kammaren nu utan votering godkänt utskottets förslag i förevarande paragraf.</w:t>
        <w:br/>
        <w:br/>
        <w:t xml:space="preserve">Då jag nu har ordet, kan jag icke neka mig att också göra en gensaga mot herr Aaby Ericssons anförande. Han sade mot herr Alexanderson, att dennes framställning var en vävnad av missförstånd. Ja, jag will då säga, att den erfarenhet jag gjort som domare går precis i samma riktning som den framställning herr Alexanderson gjorde. Det är ytterst vanligt på landet, att de av allmogen, som ha reda på, hurudan lagen i detta avseende nu är, försöka, när de gifta sig, att bereda sin </w:t>
      </w:r>
      <w:r>
        <w:rPr>
          <w:b/>
        </w:rPr>
        <w:t>hustru²</w:t>
      </w:r>
      <w:r>
        <w:rPr>
          <w:b w:val="0"/>
        </w:rPr>
        <w:t xml:space="preserve"> giftorätt i den fastighet de äga och för det ändamålet sälja hälften av fastigheten till </w:t>
      </w:r>
      <w:r>
        <w:rPr>
          <w:b/>
        </w:rPr>
        <w:t>henne²</w:t>
      </w:r>
      <w:r>
        <w:rPr>
          <w:b w:val="0"/>
        </w:rPr>
        <w:t xml:space="preserve"> under förlovningstiden. Det är så, och jag vill tillägga, att i utskottet vitsordades detta från flera håll av lantmannarepresentanterna, som sutto där. — Det förvånar mig, att herrarna skaka på huvudet och säga nej. — Jag kan för resten icke fatta, hur hela denna sak nu kan läggas fram såsom något slags jordpolitisk fråga. Huru mycket jorden blir styckad, beror icke nämnvärt på </w:t>
      </w:r>
      <w:r>
        <w:rPr>
          <w:b/>
        </w:rPr>
        <w:t>hustruns²</w:t>
      </w:r>
      <w:r>
        <w:rPr>
          <w:b w:val="0"/>
        </w:rPr>
        <w:t xml:space="preserve"> giftorätt, utan på huru många barn det är i familjerna. Hela denna fråga om jordens mobilisering tycker jag, att man icke alls kan giva den vikt i detta sammanhang, som somliga vilja göra.</w:t>
        <w:br/>
        <w:br/>
        <w:t>Jag anhåller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368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