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371</w:t>
      </w:r>
    </w:p>
    <w:p>
      <w:r>
        <w:rPr>
          <w:b/>
        </w:rPr>
        <w:t xml:space="preserve">Datum: </w:t>
      </w:r>
      <w:r>
        <w:t>1920-04-17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Halfred von Koch (–, man)</w:t>
      </w:r>
    </w:p>
    <w:p>
      <w:r>
        <w:rPr>
          <w:b w:val="0"/>
        </w:rPr>
        <w:t>Herr talman! Jag vill gärna medge, att det kan väcka vissa betänkligheter att låta domstolen träffa detta avgörande, såsom här föreslås, men efter många funderingar har jag kommit till den uppfattningen, att det är den enda utväg, som i själva verket står till buds för att trygga barnens rätt. De två reservationer — de äro egentligen tre, men av två olika slag — som här förekomma, lösa i själva verket inte alls frågan, varken herr Rogbergs och greve Spens” reservation eller herr Reuterskiölds eller herr Leos reservation. Att låta mannen i sista hand få bestämmanderätten härvidlag är i själva verket att gå fullständigt stick i stäv mot hela den tanke och den syftning, som ligger i lagförslaget, och att återigen inte säga någonting alls, som herr Leo föreslår, innebär naturligtvis i praktiken detsamma som att överlämna åt den ekonomiskt starkare, eventuellt den mest hänsynslösa parten, att avgöra frågan. Det förefaller mig därför, som om det slut, vartill herr Leo kommit — ehuru jag villigt erkänner, att hans motivering innehåller åtskilliga goda synpunkter — i själva verket inte alls är tillfredsställande, ty det innebär icke någon som helst lösning av frågan.</w:t>
        <w:br/>
        <w:br/>
        <w:t xml:space="preserve">När man emellertid närmare tänker sig in i saken, tror jag, att man skall finna, att riskerna för att låta domstolarna få med denna sak att göra äro ganska små. 'Till en början vill jag nämna, att det är inte fråga om att domstolarna skola behandla alla möjliga småtvister mellan makarna angående deras barn. Det är uttryckligen sagt ifrån, att det är endast, när det med hänsyn till barnens bästa finnes erforderligt, som domstolen skall kunna ingripa. Man behöver alltså ingalunda, befara, såvitt jag förstår, att </w:t>
      </w:r>
      <w:r>
        <w:rPr>
          <w:b/>
        </w:rPr>
        <w:t>hustrun²</w:t>
      </w:r>
      <w:r>
        <w:rPr>
          <w:b w:val="0"/>
        </w:rPr>
        <w:t xml:space="preserve"> eller eventuellt mannen skall i otid begagna sig av denna utväg.</w:t>
        <w:br/>
        <w:br/>
        <w:t>Jag vill vidare fästa uppmärksamheten på att det är meningen att i första hand den s. k. medlingen skall komma till stånd. Och lagberedningen säger i sin motivering, att just på det här området finnes det ganska stora förhoppningar om att en medling skall lämna tillfredsställande resultat. Enligt min åsikt kan denna medling förväntas leda till ett lyckligt slut, om det bakom denna medling finnes en möjlighet att vädja till högre rätt, d. v. s. att kunna hänskjuta saken till domstol. Jag behöver inte närmare antyda, hur mycket starkare detta medlingsinstitut skulle komma att verka, om det är för båda parterna klart, att man kan i yttersta nödfall vända sig till domstol.</w:t>
        <w:br/>
        <w:br/>
        <w:t>Slutligen vill jag erinra om att domstolarna ju redan nu behandla frågor, som ha mycken likhet med den som det här gäller. Domstolarna ha sig redan anförtrott att behandla äktenskapsskilsmässor, och, som bekant, är spörsmålet om vem som skall ta hand om barnen en av de mest brännande och svårlösta av dithörande frågor. Det är således ett område, domstolarna redan i viss mån givit sig in på, som man nu skulle låta dem ytterligare taga hand om.</w:t>
        <w:br/>
        <w:br/>
        <w:t>När man nu överväger allt detta, tror jag, att betänkligheterna mot att domstolen skall kunna få med detta att göra, böra få vika.</w:t>
        <w:br/>
        <w:br/>
        <w:t>stämt — torde det endast i ett mycket litet antal fall bli nödvändigt att vända sig till domstol. Men det är alldeles säkert, att det finnes en del fall, då det skulle vara av verkligt stor betydelse, att denna utväg står öppen; och just för barnens skull vågar jag för min del icke påtaga mig ansvaret för någon ändring i det förslag Kungl. Maj:t här uppgjort och som varit föremål för så mycket noggrant övervägande av lagberedningen.</w:t>
        <w:br/>
        <w:br/>
        <w:t>Jag tillåter mig därför, herr talman, att yrka bifall till Kungl. Maj:ts och utskottets förslag i denna punkt.</w:t>
      </w:r>
    </w:p>
    <w:p>
      <w:pPr>
        <w:pStyle w:val="Heading2"/>
      </w:pPr>
      <w:r>
        <w:t>2. Ernst Trygger (Högerns riksdagsgrupp, man)</w:t>
      </w:r>
    </w:p>
    <w:p>
      <w:r>
        <w:rPr>
          <w:b w:val="0"/>
        </w:rPr>
        <w:t>Herr greve och talman! För min del kan jag ej rösta för utskottets förslag.</w:t>
        <w:br/>
        <w:br/>
        <w:t>Man måste erkänna, att det i vår tid förefinnes en stor svaghet i förhållandet mellan föräldrar och barn, vilken består däri, att barnen icke äro sådana mot sina föräldrar som de böra vara. Man behöver icke se sig vitt omkring för att finna, att just denna respektlöshet ifrån barnens sida gentemot föräldrarna är en verklig samhällsolycka, är något, som medför följder, vilka äro synnerligen skadliga icke blott för samhället utan även för barnen själva, när de en gång vuxit upp. Nu är det åtminstone för mig klart, att om barnen få bevittna meningsskiljaktigheter mellan föräldrarna angående hur barnens personliga angelägenheter skola ordnas, vilka meningsskiljaktigheter till sist hänskjutas till domstol, är detta ägnat att undergräva föräldrarnas ställning i förhållande till barnen.</w:t>
        <w:br/>
        <w:br/>
        <w:t>Man skulle kunna tänka sig, att man här skulle kunna vara med om den reservation, vilken är anförd av herr Leo, som vill, att man icke skall ge någon annan bestämmelse än att bägge föräldrarna äga gemensamt avgöra den sak det här gäller. Men jag kan inte vara tillfredsställd därmed, ty från den synpunkt, som jag lägger på frågan, måste barnen ovillkorligen ha klart för sig, var det slutliga avgörandet inom hemmet ligger, i fall föräldrarna icke bli ense, och det bör ligga hos fadern.</w:t>
        <w:br/>
        <w:br/>
        <w:t>På dessa skäl vill jag anhålla om bifall till den reservation, som är anförd utav herr Rogberg och greve Spens.</w:t>
      </w:r>
    </w:p>
    <w:p>
      <w:pPr>
        <w:pStyle w:val="Heading2"/>
      </w:pPr>
      <w:r>
        <w:t>3. Gustav Möller (Socialdemokraterna, man)</w:t>
      </w:r>
    </w:p>
    <w:p>
      <w:r>
        <w:rPr>
          <w:b w:val="0"/>
        </w:rPr>
        <w:t>Herr talman, mina herrar! Jag skall tillåta mig att yrka bifall till den av herr Leo avgivna reservationen.</w:t>
        <w:br/>
        <w:br/>
        <w:t>Jag kan förstå den tankegång, som ligger bakom regeringens och utskottets förslag i denna punkt, ty det är klart, att när man vet, att svårigheter kunna föreligga, vill man försöka sig på en lösning. Men jag kan inte erkänna, att den lösning, till vilken man här kommit, är på något sätt rimlig eller resonlig. Det är inte samma sak, om man hänskjuter till domstol frågan om hur en skilsmässa skall uppgöras mellan två äkta makar och om man hänskjuter till domstol frågan om vem som i sista hand skall bestämma över barnens uppfostran. Det är för mig alldeles uppenbart, att om två äkta makar icke kunna på något sätt enas i denna punkt, så kan man inte</w:t>
        <w:br/>
        <w:br/>
        <w:t xml:space="preserve">hålla ihop eller lappa ihop förhållandet mellan dem därigenom, att Lagförslag om den ena parten går till domstol, ty vare sig det blir mannen eller det arm blir </w:t>
      </w:r>
      <w:r>
        <w:rPr>
          <w:b/>
        </w:rPr>
        <w:t>hustrun²</w:t>
      </w:r>
      <w:r>
        <w:rPr>
          <w:b w:val="0"/>
        </w:rPr>
        <w:t xml:space="preserve"> som förlorar inför domstolen, så kommer den part, som ren | domstolen frånkänner rättigheten att vidare ha något inflytande på | barnets uppfostran i, jag undrar om man inte skulle kunna våga säga, 99 z av alla fall att känna sig till den grad förorättad, till den grad illa behandlad, att därmed i själva verket allt är sagt. Vare sig det är mannen eller </w:t>
      </w:r>
      <w:r>
        <w:rPr>
          <w:b/>
        </w:rPr>
        <w:t>hustrun²</w:t>
      </w:r>
      <w:r>
        <w:rPr>
          <w:b w:val="0"/>
        </w:rPr>
        <w:t xml:space="preserve">, som frånkännes denna rättighet, så blir förhållandet —— det tror jag blir det normala i varje fall — fullkomligt outhärdligt och olidligt i ett äktenskap efter en sådan procedur. Herr Leos reservation löser visserligen icke, som man säger, i rent teknisk mening svårigheterna på denna punkt. Men det är å andra sidan klart, att parterna, därest herr Leos reservation bifalles, tvingas till en inbördes uppgörelse. Det är naturligtvis sant, att vid denna uppgörelse den starkare viljan, vare sig det är mannens eller </w:t>
      </w:r>
      <w:r>
        <w:rPr>
          <w:b/>
        </w:rPr>
        <w:t>kvinnans¹</w:t>
      </w:r>
      <w:r>
        <w:rPr>
          <w:b w:val="0"/>
        </w:rPr>
        <w:t>, till slut kommer att bli avgörande. Men jag måste för min del säga, att det är bättre, om i äktenskapet den starkare viljan på en sådan punkt blir gällande än att domstolen skall vara den, som pekar ut vem som skall bli den bestämmande. Man löser alltså genom ett bifall till reservationen icke i teknisk mening, i juridisk mening, den svårighet, som i detta avseende kan uppstå 1 äktenskapet, men man pålägger parterna ett tryck, under vilket det blir lättare att åstadkomma en uppgörelse inom äktenskapet än därest man hänvisar till den andra utvägen, att hänskjuta saken till domstol.</w:t>
        <w:br/>
        <w:br/>
        <w:t>Jag är på denna punkt övertygad om att reservantens tankegång är riktig, och jag ber därför, herr talman, att, som sagt, få yrka bifall till herr Leos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371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