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373</w:t>
      </w:r>
    </w:p>
    <w:p>
      <w:r>
        <w:rPr>
          <w:b/>
        </w:rPr>
        <w:t xml:space="preserve">Datum: </w:t>
      </w:r>
      <w:r>
        <w:t>1920-04-20</w:t>
      </w:r>
    </w:p>
    <w:p>
      <w:r>
        <w:rPr>
          <w:b/>
        </w:rPr>
        <w:t xml:space="preserve">Kammare: </w:t>
      </w:r>
      <w:r>
        <w:t>Första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Carl Johanson (Liberala samlingspartiet, man)</w:t>
      </w:r>
    </w:p>
    <w:p>
      <w:r>
        <w:rPr>
          <w:b w:val="0"/>
        </w:rPr>
        <w:t>Den fråga, som här föreligger till kammarens avgörande, kan man väl säga icke är någon så särdedeles stor fråga, om den också å andra sidan kanske har någon principiell betydelse. Blickar man tillbaka i tiden, finner man och ser, att det allmännas behov av skatteintäkter under tidernas lopp växlat avsevärt och utgått efter mycket olika grunder. En av formerna för den direkta beskattningen har varit och är fortfarande personliga avgifter till stat och kommun. Dessa avgifter, vilkas tillkomst är av gammalt datum, ha helt säkert till en början och under en längre följd av år utgjort för dåvarande förhålanden en icke oväsentlig del av den direkta beskattningen. Men efter hand som skattebehovet blivit allt större och större, ha emellertid andra skattekällor måst tillgripas, och samtidigt härmed ha dessa personliga skatter allt mer förlorat sin betydelse och utgöra för närvarande endast en bråkdel av skatterna i sin helhet.</w:t>
        <w:br/>
        <w:br/>
        <w:t>Under senare tider ha emellertid en del av dessa personliga avgifter avskaffats. Som sådana kunna nämnas: den personliga skyddsavgiften, fattigvårdsavgiften, och personliga avgifter till prästerskapets avlöning. Ännu kvarstå dock mantalspengarna som statsskatt, sjukvårdsavgiften som landstingsskatt och folkskoleavgiften till kommunen. Den senare avgiften, vars uttagande är beroende på beslut inom vederbörande kommun, är emellertid på olika orter redan avskaffad.</w:t>
        <w:br/>
        <w:br/>
        <w:t xml:space="preserve">Beträffande mantalspengarna, som skola erläggas av alla personer över 18 år med 40 öre per man och 20 öre per </w:t>
      </w:r>
      <w:r>
        <w:rPr>
          <w:b/>
        </w:rPr>
        <w:t>kvinna¹</w:t>
      </w:r>
      <w:r>
        <w:rPr>
          <w:b w:val="0"/>
        </w:rPr>
        <w:t>, dock med befrielse för vissa kategorier, däribland de allra fattigaste, har det anmärkts, att denna avgift vore ett uttryck för de skyldigheter gent emot samhället, som varje medborgare har att fylla, och att ett fullgörande av ifrågavarande skattskyldighet för många utgör det enda villkoret för utövande av politisk och kommunal rösträtt. Detta skäl för mantalspengarnas bibehållande har dock numera förlorat sin betydelse, sedan genom de senaste stora rösträttsreformerna fullgjord skattebetalning kommer att bortfalla som villkor för rättighet att utöva politisk rösträtt och ej längre i samma grad som förut utgör villkor för kommunal rösträtt.</w:t>
        <w:br/>
        <w:br/>
        <w:t>Med nuvarande låga penningvärde ha mantalspengarna ingen</w:t>
        <w:br/>
        <w:br/>
        <w:t>nämnvärd betydelse som skattekälla för staten, men icke heller för den skattebetalande, enär beloppen äro så obetydliga, att de på sin höjd representera kostnaden för ett par spårvägsbiljetter. På grund av denna skatts, rent materiellt sett, ringa värde kan det till och med ifrågasättas, om icke kostnaderna för debiteringen, uppbörden och indrivningen uppgå till i det närmaste hela skattebeloppet. Därtill kommer, att icke så ringa del av avgifterna ifråga måste avskrivas. Till belysande av omfånget av dessa avskrivningar har motionären åberopat en statistik från ett stadssamhälle i Norrland för åren 1901—1910, varav framgår, att det sammanlagda beloppet uttaxerade mantalspengar uppgick i runt tal till 14,900 kronor. Av detta belopp hade icke mindre än 4,765 kronor eller cirka 32 2 måst avskrivas.</w:t>
        <w:br/>
        <w:br/>
        <w:t>Av såväl motionen som utskottsbetänkandet framgår, hurusom denna fråga behandlades i riksdagen 1912. Motionen tillstyrktes av andra kammarens femte tillfälliga utskott och bifölls av andra kammaren. Första kammarens första tillfälliga utskott avstyrkte motionen och första kammaren följde utskottet. Efter 8 år har samma motionär genom ny motion framställt samma yrkande. Resultatet av behandlingen inom andra kammaren är analogt med 1912, i det kammaren även nu följt sitt utskott och beslutat begära utredning om avskrivning. Ärendet har nu också återigen varit föremål för behandling av första kammarens tillfälliga utskott, som denna gång, ehuru med tvenne reservationer, tillstyrker, att kammaren måtte biträda andra kammarens beslut, och jag ber, herr talman, att få yrka bifall till utskottets hemställan.</w:t>
      </w:r>
    </w:p>
    <w:p>
      <w:pPr>
        <w:pStyle w:val="Heading2"/>
      </w:pPr>
      <w:r>
        <w:t>2. Jacob Spens (Första kammarens nationella parti, man)</w:t>
      </w:r>
    </w:p>
    <w:p>
      <w:r>
        <w:rPr>
          <w:b w:val="0"/>
        </w:rPr>
        <w:t xml:space="preserve">Ett bifall till utskottets förslag i denna fråga tror jag för min del skulle vara synnerligen oklokt. I dessa tider, då såväl staten som kommunen behöva stora inkomster, synes det vara särdeles opåkallat att borttaga ifrågavarande skatter, om vilka utskottet medgiver, att de äro så obetydliga, att de endast i undantagsfall borde kännas betungande för de skattskyldiga att erlägga. Jag tror för min del, att man lugnt kan påstå, att dessa skatter icke alls tynga för närvarande, då mantalspengarna och sjukvårdsavgiften tillsammans icke uppgå till mer än 90 öre för man och 45 öre för </w:t>
      </w:r>
      <w:r>
        <w:rPr>
          <w:b/>
        </w:rPr>
        <w:t>kvinna¹</w:t>
      </w:r>
      <w:r>
        <w:rPr>
          <w:b w:val="0"/>
        </w:rPr>
        <w:t>. Den siste ärade talaren sade också, att de icke uppgå till mer än kostnaden för ett par spårvagnsbiljetter. Dessa utskylder hava givet en uppfostrande betydelse, enär de innebära en erinran för varje me borgare om hans förpliktelser till det allmänna, och denna betydelse upphör och minskas icke därför, att enligt vilande grundlagsförslag den politiska rösträtten icke skulle berövas den, som icke betalt sina skatter.</w:t>
        <w:br/>
        <w:br/>
        <w:t>Jag har emelleriid begärt ordet för att särskilt tala om den personliga sjukvårdsavgiften, som är väl behövlig för sjukvården 1 landet i allmänhet och vars borttagande komme att skada sjukvården särskilt ute på landsbygden. Landstingsskatten skulle efter sjukvårdsavgiftens borttagande komma att ökas och bliva ännu mer betungande än den är. Jag är alldeles viss, att vid så-</w:t>
        <w:br/>
        <w:br/>
        <w:t>dant förhållande genom borttagande av dessa personliga utskylder skulle åstadkommas större skattetunga för en del mindre inkomsttagare än deras bibehållande skulle göra. Jag vill också påpeka, att sjukvårdsavgiften enligt gällande bestämmelser användes huvudsakligen till de veneriska sjukdomarnas bekämpande. Kurhusen vid länslasaretten underhållas, åtminstone till större del, med denna avgift. Densamma användes även till bekostande av provinsialläkarnas resor till sådana orter på landsbygden, där smittsamma könssjukdomar yppat sig, och för närvarande finnas inga andra medel till bekostande av dessa resor än den personliga sjukvårdsavgiften. Jag kan också upplysa, att från flera håll framställningar ingivits till Kungl. Maj:t, att sjukvårdsavgiften skulle höjas, och enligt min åsikt skulle detta vara en lämpliare väg.</w:t>
        <w:br/>
        <w:br/>
        <w:t>Folkskoleavgiften är ju numera utan betydelse. Den torde i de flesta kommuner icke påläggas.</w:t>
        <w:br/>
        <w:br/>
        <w:t>För min del anser jag således icke, att verkliga skäl anförts för borttagande av de personliga utskylderna, utan ber jag, herr greve och talman, att få förena mig med dem som yrkat avslag på ifrågavarande utskottsutlåtande.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373</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