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1480</w:t>
      </w:r>
    </w:p>
    <w:p>
      <w:r>
        <w:rPr>
          <w:b/>
        </w:rPr>
        <w:t xml:space="preserve">Datum: </w:t>
      </w:r>
      <w:r>
        <w:t>1920-06-05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Torsten Nothin (Socialdemokraterna, man)</w:t>
      </w:r>
    </w:p>
    <w:p>
      <w:r>
        <w:rPr>
          <w:b w:val="0"/>
        </w:rPr>
        <w:t>Konungen äger att i statsrådet utnämna och befordra infödde svenske män till alla de ämbeten och tjänster, högre eller lägre, vilka äro av den egenskap, att Konungen fullmakter därå utfärdar, dock böra vederbörande förut med förslag hava inkommit, där sådana hittills ägt rum. Konungen vare ock obetaget, att, efter vederbörandes hörande, eller uppå deras framställning, till lärarebefattningar vid universiteterna, de teologiska läraretjänsterna likväl undantagna, såsom ock till lärareoch andra beställningar vid andra inrättningar för vetenskap, slöjd eller skön konst, ävensom till läkarebefattningar, kalla och befordra även utländske män av utmärkt förtjänst, de där den rena evangeliska läran bekänna. Likaledes må Konungen kunna uti militära ämbeten nyttja utländske män av sällsynt skicklighet, men icke till kommendanter i fästningarna. Till konsul må ock utländsk man nämnas, där lön ej är med befattningen förenad.</w:t>
        <w:br/>
        <w:br/>
        <w:t xml:space="preserve">Till ämbeten och tjänster, varom ovan sägs, må med tillämpning av grunder, som av Konungen och riksdagen godkänts, även </w:t>
      </w:r>
      <w:r>
        <w:rPr>
          <w:b/>
        </w:rPr>
        <w:t>kvinnor¹</w:t>
      </w:r>
      <w:r>
        <w:rPr>
          <w:b w:val="0"/>
        </w:rPr>
        <w:t xml:space="preserve"> kunna utnämnas och befordras, dock att </w:t>
      </w:r>
      <w:r>
        <w:rPr>
          <w:b/>
        </w:rPr>
        <w:t>kvinna¹</w:t>
      </w:r>
      <w:r>
        <w:rPr>
          <w:b w:val="0"/>
        </w:rPr>
        <w:t xml:space="preserve"> ej må utnämnas till prästerlig tjänst, där ej annorledes blivit bestämt i den ordning, 87 $ 2 mom. stadgar.</w:t>
        <w:br/>
        <w:br/>
        <w:t>Till prästerligt ämbete eller till annan tjänst, varmed är förenat åliggande att meddela undervisning i kristendom eller teologisk vetenskap, kan endast den utnämnas, som bekänner den rena evangeliska läran. Till alla övriga ämbeten eller tjänster, med det undantag i avseende å statsrådets ledamöter, som i 4 8 stadgas, må bekännare av annan kristen troslära, ävensom av den mosaiska, kunna nämnas; dock må icke någon, som ej tillhör den rena evangeliska läran, såsom domare eller innehavare av annan tjänst deltaga i handläggning eller avgörande av fråga, som angår religionsvård, religionsundervisning eller befordringar inom den svenska kyrkan.</w:t>
        <w:br/>
        <w:br/>
        <w:t>Konungen fäste vid alla befordringar avseende endast å de sökandes förtjänst och skicklighet, men icke på deras börd. Varje departementschef skall föredraga och expediera alla ärenden rörande befordringar, förordnanden, tjänstledighet och avsked, till och ifrån äm-</w:t>
        <w:br/>
        <w:br/>
        <w:t xml:space="preserve">beten och tjänster vid de verk och stater, som under departementet Ang. </w:t>
      </w:r>
      <w:r>
        <w:rPr>
          <w:b/>
        </w:rPr>
        <w:t>kvinnors¹</w:t>
      </w:r>
      <w:r>
        <w:rPr>
          <w:b w:val="0"/>
        </w:rPr>
        <w:t xml:space="preserve"> höra. tillträde till statstjänster. $ 33. (Forts:) Konungen äger att i den ordning och under de villkor, som bestämmas genom särskild lag, stiftad i den ordning 87 $ 1 mom. stadgar, genom naturalisation till svensk medborgare upptaga utländsk inan eller </w:t>
      </w:r>
      <w:r>
        <w:rPr>
          <w:b/>
        </w:rPr>
        <w:t>kvinna¹</w:t>
      </w:r>
      <w:r>
        <w:rPr>
          <w:b w:val="0"/>
        </w:rPr>
        <w:t>. Sålunda naturaliserad utlänning njute samma rättigheter och förmåner, som infödd svensk medborgare, dock utan att kunna till ledamot av statsrådet utnämnas.</w:t>
        <w:br/>
        <w:br/>
        <w:t>Det av utskottet framlagda förslaget överensstämde med Kungl. Maj:ts utom i avseende å första punkten i $ 28 regeringsformen, vilken i utskottets förslag bibehållits i sin nuvarande lydelse, varemot Kungl. Maj:t i sitt förslag uteslutit det i punkten förekommande ordet »infödde».</w:t>
        <w:br/>
        <w:br/>
        <w:t xml:space="preserve">Till ämbeten och tjänster, varom ovan sägs, må med tillämpning av grunder, som av Konungen och riksdagen godkänts, även </w:t>
      </w:r>
      <w:r>
        <w:rPr>
          <w:b/>
        </w:rPr>
        <w:t>kvinnor¹</w:t>
      </w:r>
      <w:r>
        <w:rPr>
          <w:b w:val="0"/>
        </w:rPr>
        <w:t xml:space="preserve"> kunna utnämnas och befordras; dock att </w:t>
      </w:r>
      <w:r>
        <w:rPr>
          <w:b/>
        </w:rPr>
        <w:t>kvinna¹</w:t>
      </w:r>
      <w:r>
        <w:rPr>
          <w:b w:val="0"/>
        </w:rPr>
        <w:t xml:space="preserve"> ej må utnämnas till militär eller civilmilitär befattning, domarebefattning eller präster-</w:t>
      </w:r>
    </w:p>
    <w:p>
      <w:pPr>
        <w:pStyle w:val="Heading2"/>
      </w:pPr>
      <w:r>
        <w:t>2. Swen Persson (Högerns riksdagsgrupp, man)</w:t>
      </w:r>
    </w:p>
    <w:p>
      <w:r>
        <w:rPr>
          <w:b w:val="0"/>
        </w:rPr>
        <w:t>Herr talman, mina herrar! Det föredragna ärendet är i och för sig ganska enkelt att taga ställning till, men detta hindrar icke, att frågan är av utomordentligt stor betydelse. Jag skall, när jag nu begärt ordet, icke alls fördjupa mig i frågan, och detta förnämligast av det skälet, att utgången av denna kammares beslut torde på förhand kunna anses given. Jag skall. därför icke onödigtvis upptaga kammarens tid, detta icke minst med hänsyn till den långa föredragningslista, som här i dag föreligger till kammarens behandling.</w:t>
        <w:br/>
        <w:br/>
        <w:t xml:space="preserve">Jag skall inskränka mig till att säga, att jag instämmer med dem, som anse, att en utvidgning av </w:t>
      </w:r>
      <w:r>
        <w:rPr>
          <w:b/>
        </w:rPr>
        <w:t>kvinnans¹</w:t>
      </w:r>
      <w:r>
        <w:rPr>
          <w:b w:val="0"/>
        </w:rPr>
        <w:t xml:space="preserve"> rätt att bekläda statstjänster är en av tidsförhållandena påkallad reform, men däremot är Jag icke övertygad om vare sig nyttan eller klokheten av att i ett enda slag öppna så gott som alla portar på vid gavel för </w:t>
      </w:r>
      <w:r>
        <w:rPr>
          <w:b/>
        </w:rPr>
        <w:t>kvinnans¹</w:t>
      </w:r>
      <w:r>
        <w:rPr>
          <w:b w:val="0"/>
        </w:rPr>
        <w:t xml:space="preserve"> rätt att bekläda statstjänster. Enligt mitt förmenande äro de befattningar, som herr von Geijer i sin reservation uppräknar, nämligen dels statsrådsbefattning, dels militär och civilmilitär tjänst, domarbefattning och prästerlig tjänst, av den beskaffenhet, att de icke lämpligen böra beklädas av </w:t>
      </w:r>
      <w:r>
        <w:rPr>
          <w:b/>
        </w:rPr>
        <w:t>kvinnor¹</w:t>
      </w:r>
      <w:r>
        <w:rPr>
          <w:b w:val="0"/>
        </w:rPr>
        <w:t>.</w:t>
        <w:br/>
        <w:br/>
        <w:t>Då jag alltså anser, att dessa undantag, som herr von Geijer påyrkar i sin reservation, äro fullt befogade, och i varje fall förtjänta av ett ytterligare övervägande innan de grundlagfästas, ber jag, herr talman, att med dessa korta ord få yrka avslag på utskottets hemställan och bifall till den av herr von Geijer avgivna, vid betänkandet fogade reservationen.</w:t>
      </w:r>
    </w:p>
    <w:p>
      <w:pPr>
        <w:pStyle w:val="Heading2"/>
      </w:pPr>
      <w:r>
        <w:t>3. Ulrik Leander (Frisinnade folkpartiet, man)</w:t>
      </w:r>
    </w:p>
    <w:p>
      <w:r>
        <w:rPr>
          <w:b w:val="0"/>
        </w:rPr>
        <w:t xml:space="preserve">Det är ganska egendomligt, att högern för 15 å 20 år sedan ådagalade mera intresse för </w:t>
      </w:r>
      <w:r>
        <w:rPr>
          <w:b/>
        </w:rPr>
        <w:t>kvinnans¹</w:t>
      </w:r>
      <w:r>
        <w:rPr>
          <w:b w:val="0"/>
        </w:rPr>
        <w:t xml:space="preserve"> rättigheter, än vad den under senare år visat sig äga. Bland motionärer, som på den tiden påyrkade, att </w:t>
      </w:r>
      <w:r>
        <w:rPr>
          <w:b/>
        </w:rPr>
        <w:t>kvinnans¹</w:t>
      </w:r>
      <w:r>
        <w:rPr>
          <w:b w:val="0"/>
        </w:rPr>
        <w:t xml:space="preserve"> befogenheter i fråga om tillträde till ämbeten och tjänster skulle utökas, påträffar man t. ex. herr E. Trygger. Emellertid går det nu icke att vrida tiden och utvecklingen tillbaka.</w:t>
        <w:br/>
        <w:br/>
        <w:t xml:space="preserve">Enligt den proposition, som vi nu behandla och som utskottet i allt väsentligt tillstyrkt, stå </w:t>
      </w:r>
      <w:r>
        <w:rPr>
          <w:b/>
        </w:rPr>
        <w:t>kvinnorna¹</w:t>
      </w:r>
      <w:r>
        <w:rPr>
          <w:b w:val="0"/>
        </w:rPr>
        <w:t xml:space="preserve"> med hänsyn till grundlagens bestämmelser mycket nära målet att hava uppnått den fulla likställigheten med männen. Det är dock några få ämbeten, såsom justitieombudsmansoch militieombudsmansämbetena, som i fortsättningen tills vidare komma att vara förbehållna männen. Jag antager, att detta icke skall vålla så synnerligen stora bekymmer, då ingen svensk </w:t>
      </w:r>
      <w:r>
        <w:rPr>
          <w:b/>
        </w:rPr>
        <w:t>kvinna¹</w:t>
      </w:r>
      <w:r>
        <w:rPr>
          <w:b w:val="0"/>
        </w:rPr>
        <w:t xml:space="preserve"> för närvarande lär vara aspirant på dessa ämbeten.</w:t>
        <w:br/>
        <w:br/>
        <w:t xml:space="preserve">Emellertid har herr Lindhagen, såsom vi se av den utav honom väckta motionen, velat taga steget fullt ut och fullständigt likställa </w:t>
      </w:r>
      <w:r>
        <w:rPr>
          <w:b/>
        </w:rPr>
        <w:t>kvinnan¹</w:t>
      </w:r>
      <w:r>
        <w:rPr>
          <w:b w:val="0"/>
        </w:rPr>
        <w:t xml:space="preserve"> med mannen ifråga om tillträde till statstjänster. Herr Hellberg har ställt sig ungefär på samma ståndpunkt eller, såsom han säger, i huvudsak velat ansluta sig till herr Lindhagens yrkande. Han har dock ganska väsentligt modifierat detta yrkande, och på grund härav är det i sak mycket liten skillnad mellan herr Hellbergs förslag och utskottets förslag. Det är endast formen, som herr Hellberg vill ha litet annorlunda. Han vill ha mera klara och principiella uttalanden och icke i en sådan form, att den nya bestämmelsen närmast framstår som ett halvt motvilligt medgivet undantag från den gamla. Emellertid tror jag, att kammaren här kan följa utskottet. Jag funderade till en början på att ställa mig på herr Hellbergs ståndpunkt, men när jag sedan jämförde hans reservation med utskoteta törelag, fann jag, att det, som sagt, var mycket liten skillnad i sak.</w:t>
        <w:br/>
        <w:br/>
        <w:t xml:space="preserve">Sedan föreligger här ett yrkande av herr von Geijer och hans medreservanter, till vilka herr Persson i Fritorp anslutit sig. De vilja, att </w:t>
      </w:r>
      <w:r>
        <w:rPr>
          <w:b/>
        </w:rPr>
        <w:t>kvinnan¹</w:t>
      </w:r>
      <w:r>
        <w:rPr>
          <w:b w:val="0"/>
        </w:rPr>
        <w:t xml:space="preserve"> i fortsättningen skall vara åtminstone en hästlängd efter mannen. De vilja erinra </w:t>
      </w:r>
      <w:r>
        <w:rPr>
          <w:b/>
        </w:rPr>
        <w:t>henne²</w:t>
      </w:r>
      <w:r>
        <w:rPr>
          <w:b w:val="0"/>
        </w:rPr>
        <w:t xml:space="preserve"> om att </w:t>
      </w:r>
      <w:r>
        <w:rPr>
          <w:b/>
        </w:rPr>
        <w:t>hon²</w:t>
      </w:r>
      <w:r>
        <w:rPr>
          <w:b w:val="0"/>
        </w:rPr>
        <w:t xml:space="preserve"> ändå icke får tro sig vara fullt lika god som mannen. </w:t>
      </w:r>
      <w:r>
        <w:rPr>
          <w:b/>
        </w:rPr>
        <w:t>Hon²</w:t>
      </w:r>
      <w:r>
        <w:rPr>
          <w:b w:val="0"/>
        </w:rPr>
        <w:t xml:space="preserve"> får därför icke bekläda statsrådsämbete. Nåja, icke duga alla </w:t>
      </w:r>
      <w:r>
        <w:rPr>
          <w:b/>
        </w:rPr>
        <w:t>kvinnor¹</w:t>
      </w:r>
      <w:r>
        <w:rPr>
          <w:b w:val="0"/>
        </w:rPr>
        <w:t xml:space="preserve"> till att bli statsråd, men det är icke heller alla män, som duga till det. Säkert är, att det finns många </w:t>
      </w:r>
      <w:r>
        <w:rPr>
          <w:b/>
        </w:rPr>
        <w:t>kvinnor¹</w:t>
      </w:r>
      <w:r>
        <w:rPr>
          <w:b w:val="0"/>
        </w:rPr>
        <w:t xml:space="preserve">, som lika bra som männen kunna förvalta det bättre än åtskilliga av de män, som beklätt detsamma. En konsekvens av </w:t>
      </w:r>
      <w:r>
        <w:rPr>
          <w:b/>
        </w:rPr>
        <w:t>kvinnans¹</w:t>
      </w:r>
      <w:r>
        <w:rPr>
          <w:b w:val="0"/>
        </w:rPr>
        <w:t xml:space="preserve"> politiska rösträtt och valbarhet till riksdagsman måste ju för övrigt vara, att </w:t>
      </w:r>
      <w:r>
        <w:rPr>
          <w:b/>
        </w:rPr>
        <w:t>hon²</w:t>
      </w:r>
      <w:r>
        <w:rPr>
          <w:b w:val="0"/>
        </w:rPr>
        <w:t xml:space="preserve"> skall kunna utnämnas till ledamot av statsrådet.</w:t>
        <w:br/>
        <w:br/>
        <w:t xml:space="preserve">Sedan är det de militära befattningarna. Jag vill då erinra min ärade vän, herr Persson i Fritorp om det svar som han erhöll av en högt uppsatt och mycket framstående militär på sin fråga, om </w:t>
      </w:r>
      <w:r>
        <w:rPr>
          <w:b/>
        </w:rPr>
        <w:t>kvinnan¹</w:t>
      </w:r>
      <w:r>
        <w:rPr>
          <w:b w:val="0"/>
        </w:rPr>
        <w:t xml:space="preserve"> möjligen skulle duga till militärtjänst. Jo, blev svaret, visst duger </w:t>
      </w:r>
      <w:r>
        <w:rPr>
          <w:b/>
        </w:rPr>
        <w:t>hon²</w:t>
      </w:r>
      <w:r>
        <w:rPr>
          <w:b w:val="0"/>
        </w:rPr>
        <w:t xml:space="preserve"> till det; en </w:t>
      </w:r>
      <w:r>
        <w:rPr>
          <w:b/>
        </w:rPr>
        <w:t>kvinna¹</w:t>
      </w:r>
      <w:r>
        <w:rPr>
          <w:b w:val="0"/>
        </w:rPr>
        <w:t xml:space="preserve"> kan driva tio män på flyk-</w:t>
        <w:br/>
        <w:br/>
        <w:t xml:space="preserve">föras med de gamla svenska männen vid Narva, som ju var och en lyckades driva tio ryssar på flykten, och denne general förklarade, att själv ville han icke alls slåss med en </w:t>
      </w:r>
      <w:r>
        <w:rPr>
          <w:b/>
        </w:rPr>
        <w:t>kvinna¹</w:t>
      </w:r>
      <w:r>
        <w:rPr>
          <w:b w:val="0"/>
        </w:rPr>
        <w:t xml:space="preserve">. Vi hava under det senaste kriget hört talas om, att flera </w:t>
      </w:r>
      <w:r>
        <w:rPr>
          <w:b/>
        </w:rPr>
        <w:t>kvinnor¹</w:t>
      </w:r>
      <w:r>
        <w:rPr>
          <w:b w:val="0"/>
        </w:rPr>
        <w:t xml:space="preserve"> förklätt sig till män och ställt sig i ledet samt kämpat tappert. Nu tror Jag icke, att det ligger för </w:t>
      </w:r>
      <w:r>
        <w:rPr>
          <w:b/>
        </w:rPr>
        <w:t>kvinnans¹</w:t>
      </w:r>
      <w:r>
        <w:rPr>
          <w:b w:val="0"/>
        </w:rPr>
        <w:t xml:space="preserve"> röst i allmänhet att ägna sig åt militäryrket, men om det är någon </w:t>
      </w:r>
      <w:r>
        <w:rPr>
          <w:b/>
        </w:rPr>
        <w:t>kvinna¹</w:t>
      </w:r>
      <w:r>
        <w:rPr>
          <w:b w:val="0"/>
        </w:rPr>
        <w:t xml:space="preserve">, som har lust till det, så förstår jag icke, varför </w:t>
      </w:r>
      <w:r>
        <w:rPr>
          <w:b/>
        </w:rPr>
        <w:t>hon²</w:t>
      </w:r>
      <w:r>
        <w:rPr>
          <w:b w:val="0"/>
        </w:rPr>
        <w:t xml:space="preserve"> nödvändigtvis skulle behöva draga på sig byxor för att få denna lust tillfredsställd, utan </w:t>
      </w:r>
      <w:r>
        <w:rPr>
          <w:b/>
        </w:rPr>
        <w:t>hon²</w:t>
      </w:r>
      <w:r>
        <w:rPr>
          <w:b w:val="0"/>
        </w:rPr>
        <w:t xml:space="preserve"> kan väl då få behålla sin vanliga dräkt. Det kan hända, att det finns någon Jeanne d'Arc, som kunde uträtta stora ting även på detta område. I varje fall finnes ingen anledning att utestänga </w:t>
      </w:r>
      <w:r>
        <w:rPr>
          <w:b/>
        </w:rPr>
        <w:t>kvinnan¹</w:t>
      </w:r>
      <w:r>
        <w:rPr>
          <w:b w:val="0"/>
        </w:rPr>
        <w:t xml:space="preserve"> från militära befattningar, om </w:t>
      </w:r>
      <w:r>
        <w:rPr>
          <w:b/>
        </w:rPr>
        <w:t>hon²</w:t>
      </w:r>
      <w:r>
        <w:rPr>
          <w:b w:val="0"/>
        </w:rPr>
        <w:t xml:space="preserve"> verkligen vill ägna sig åt dem.</w:t>
        <w:br/>
        <w:br/>
        <w:t xml:space="preserve">På samma sätt förhåller det sig med de andra ämbetena, som reservanterna vilja förbehålla männen och utestänga </w:t>
      </w:r>
      <w:r>
        <w:rPr>
          <w:b/>
        </w:rPr>
        <w:t>kvinnorna¹</w:t>
      </w:r>
      <w:r>
        <w:rPr>
          <w:b w:val="0"/>
        </w:rPr>
        <w:t xml:space="preserve"> från. Jag tror, att </w:t>
      </w:r>
      <w:r>
        <w:rPr>
          <w:b/>
        </w:rPr>
        <w:t>kvinnan¹</w:t>
      </w:r>
      <w:r>
        <w:rPr>
          <w:b w:val="0"/>
        </w:rPr>
        <w:t xml:space="preserve"> kan sköta dem lika bra som mannen. </w:t>
      </w:r>
      <w:r>
        <w:rPr>
          <w:b/>
        </w:rPr>
        <w:t>Hon²</w:t>
      </w:r>
      <w:r>
        <w:rPr>
          <w:b w:val="0"/>
        </w:rPr>
        <w:t xml:space="preserve"> har samma förutsättningar som han.</w:t>
        <w:br/>
        <w:br/>
        <w:t>Herr talman, jag ber att få yrka bifall till utskottets hemställan.</w:t>
      </w:r>
    </w:p>
    <w:p>
      <w:pPr>
        <w:pStyle w:val="Heading2"/>
      </w:pPr>
      <w:r>
        <w:t>4. Torsten Nothin (Socialdemokraterna, man)</w:t>
      </w:r>
    </w:p>
    <w:p>
      <w:r>
        <w:rPr>
          <w:b w:val="0"/>
        </w:rPr>
        <w:t xml:space="preserve">Herr talman, mina herrar! För närvarande äger </w:t>
      </w:r>
      <w:r>
        <w:rPr>
          <w:b/>
        </w:rPr>
        <w:t>kvinnan¹</w:t>
      </w:r>
      <w:r>
        <w:rPr>
          <w:b w:val="0"/>
        </w:rPr>
        <w:t xml:space="preserve"> tillträde till statstjänst allenast i vissa undantagsfall. I fråga om högre tjänster — så kallade fullmaktstjänster — finnas stadganden i ämnet i $ 28 regeringsformen, där det angives som regel, att det skall vara män, som skola utnämnas till dessa tjänster, och att endast i vissa undantagsfall </w:t>
      </w:r>
      <w:r>
        <w:rPr>
          <w:b/>
        </w:rPr>
        <w:t>kvinnor¹</w:t>
      </w:r>
      <w:r>
        <w:rPr>
          <w:b w:val="0"/>
        </w:rPr>
        <w:t xml:space="preserve"> må utnämnas. JBecträffande lägre tjänster återfinnas föreskrifter i avlöningsreglementen och instruktioner.</w:t>
        <w:br/>
        <w:br/>
        <w:t xml:space="preserve">Den till behandling föreliggande propositionen avser, på ett undantag när, icke att taga definitiv ståndpunkt till frågan rörande </w:t>
      </w:r>
      <w:r>
        <w:rPr>
          <w:b/>
        </w:rPr>
        <w:t>kvinnornas¹</w:t>
      </w:r>
      <w:r>
        <w:rPr>
          <w:b w:val="0"/>
        </w:rPr>
        <w:t xml:space="preserve"> rätt att bekläda statstjänst, utan avsikten är endast att undanröja grundlagens hinder i sådant hänseende. Denna fråga är nämligen under utredning hos särskilt tillkallade sakkunniga.</w:t>
        <w:br/>
        <w:br/>
        <w:t xml:space="preserve">Till grund för Kungl. Maj:ts proposition har legat den uppfattning att vissa statstjänster vore av den beskaffenhet, att de icke obetingat eller under alla förhållanden kunde eller borde beklädas av </w:t>
      </w:r>
      <w:r>
        <w:rPr>
          <w:b/>
        </w:rPr>
        <w:t>kvinnor¹</w:t>
      </w:r>
      <w:r>
        <w:rPr>
          <w:b w:val="0"/>
        </w:rPr>
        <w:t xml:space="preserve">; därför har man också avsett, att dessa statstjänster skola uttryckligen avskiljas från det område, som nu skall öppnas för </w:t>
      </w:r>
      <w:r>
        <w:rPr>
          <w:b/>
        </w:rPr>
        <w:t>kvinnans¹</w:t>
      </w:r>
      <w:r>
        <w:rPr>
          <w:b w:val="0"/>
        </w:rPr>
        <w:t xml:space="preserve"> verksamhet. Enligt propositionen, som i denna del överensstämmer med de nyssnämnda sakkunnigas uppfattning, skola emellertid dessa undantag icke angivas i grundlagen utan göras till föremål för särskild lagstiftning, som skall föreläggas riksdagen. I fråga om statsrådsämbete innebär emellertid propositionen redan nu ett ståndpunktstagande, men jag vill erinra om att enligt nu vilande grundlagsändringsförslag </w:t>
      </w:r>
      <w:r>
        <w:rPr>
          <w:b/>
        </w:rPr>
        <w:t>kvinnorna¹</w:t>
      </w:r>
      <w:r>
        <w:rPr>
          <w:b w:val="0"/>
        </w:rPr>
        <w:t xml:space="preserve"> skola erhålla valrätt och bliva valbara till riksdagens båda kamrar; konsekvensen härav synes bjuda, att </w:t>
      </w:r>
      <w:r>
        <w:rPr>
          <w:b/>
        </w:rPr>
        <w:t>kvinna¹</w:t>
      </w:r>
      <w:r>
        <w:rPr>
          <w:b w:val="0"/>
        </w:rPr>
        <w:t xml:space="preserve"> även må kunna bekläda statsrådsämbete, detta så mycket hellre, som till statsråd vanligen kallas personer, vilka deltaga i det aktiva politiska livet, nämligen ledamöter av riksdagen.</w:t>
        <w:br/>
        <w:br/>
        <w:t xml:space="preserve">I detta sammanhang vill jag erinra om att i Norge och Finland icke finnes något hinder för </w:t>
      </w:r>
      <w:r>
        <w:rPr>
          <w:b/>
        </w:rPr>
        <w:t>kvinna¹</w:t>
      </w:r>
      <w:r>
        <w:rPr>
          <w:b w:val="0"/>
        </w:rPr>
        <w:t xml:space="preserve"> att bli ledamot av statsrådet. Icke heller i Danmark skall, enligt ett föreliggande förslag, vars slutliga antagande blivit fördröjt uteslutande på grund av meningsskiljaktighet på annan punkt, något hinder finnas för </w:t>
      </w:r>
      <w:r>
        <w:rPr>
          <w:b/>
        </w:rPr>
        <w:t>kvinna¹</w:t>
      </w:r>
      <w:r>
        <w:rPr>
          <w:b w:val="0"/>
        </w:rPr>
        <w:t xml:space="preserve"> att mottaga statsrådsämbete.</w:t>
        <w:br/>
        <w:br/>
        <w:t xml:space="preserve">I övrigt avser, såsom jag nämnt, propositionen icke att taga slutlig ståndpunkt, och jag tror, att det är för tidigt att nu föregripa resultatet av utredningen genom att avskilja vissa ämbeten från </w:t>
      </w:r>
      <w:r>
        <w:rPr>
          <w:b/>
        </w:rPr>
        <w:t>kvinnans¹</w:t>
      </w:r>
      <w:r>
        <w:rPr>
          <w:b w:val="0"/>
        </w:rPr>
        <w:t xml:space="preserve"> befogenhet. Jag tror därför, att det vore önskligt, att kammaren ville bifalla utskottets hemställan.</w:t>
        <w:br/>
        <w:br/>
        <w:t>att riksdagen ville som sin mening uttala, att den i statsrådspro- Ang. klassifi-</w:t>
        <w:br/>
        <w:br/>
        <w:t>tokollet av den 12 mars 1920 omnämnda utredning för klassificering av postkontoren icke borde överlämnas till kommunikationsverkens</w:t>
        <w:br/>
        <w:br/>
        <w:t>lönenämnd utan i stället handläggas i samband med den i samma pro-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