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1487</w:t>
      </w:r>
    </w:p>
    <w:p>
      <w:r>
        <w:rPr>
          <w:b/>
        </w:rPr>
        <w:t xml:space="preserve">Datum: </w:t>
      </w:r>
      <w:r>
        <w:t>1921-01-20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Raoul Hamilton (Frisinnade folkpartiet, man)</w:t>
      </w:r>
    </w:p>
    <w:p>
      <w:r>
        <w:rPr>
          <w:b w:val="0"/>
        </w:rPr>
        <w:t xml:space="preserve">Herr talman! När man med tystnad iakttagit denna debatt, har man svårt att fatta densamma som annat än en ren tom demonstration. Ty man kan svårligen förstå, att bakom de avslagsyrkanden, som här framställts av åtskilliga talare, ligger något allvar. Det är väl icke deras allvarliga menine att vilja stjälpa de grundlagsändringar, som nu äro föredragna. Det är visserligen sant, som en representant på dalabänken nyss yttrade, att det liberala partiet under många år ställde sig emot skattestreckets borttagande. Men då det visade sig, att man icke kunde få till stånd en lagstiftning, som åstadkom rättvisa och som icke även drahbbade de oskyldiga, icke allenast de skyldiga, som man ville komma åt, så bytte liberala partiet om sin ståndpunkt därvidlag. Men de grundlagsändringsförslag, som här föreligga till behandling, röra sig icke endast om skattestrecket utan om viktigare lagändringar och främst bland dem </w:t>
      </w:r>
      <w:r>
        <w:rPr>
          <w:b/>
        </w:rPr>
        <w:t>kvinnorösträtten¹</w:t>
      </w:r>
      <w:r>
        <w:rPr>
          <w:b w:val="0"/>
        </w:rPr>
        <w:t xml:space="preserve">. Då nu herr Bengtsson i Kullen framhåller, att i det liberala parti, för vilket herr Edén är ordförande, många önskade, att grundlagsfrågorna, som vi nu behandla, skulle falla, så måste jag avgiva en protest häremot. Bakom herr Edén står det liberala partiet, och vi anse framför allt, att det vore kränkande för rättskänslan, om man nu skulle stjälpa den bestämmelsen, att även </w:t>
      </w:r>
      <w:r>
        <w:rPr>
          <w:b/>
        </w:rPr>
        <w:t>kvinnorna¹</w:t>
      </w:r>
      <w:r>
        <w:rPr>
          <w:b w:val="0"/>
        </w:rPr>
        <w:t xml:space="preserve"> skola få deltaga i valen till andra kammaren nästa gång vi gå till val. Vi icke allenast anse, att det är deras rätt, utan vi tro också, att de inlägg, som de kunna göra i det politiska livet, skola vara till gagn för vårt fosterland.</w:t>
        <w:br/>
        <w:br/>
        <w:t>Jag ber, herr talman, att sedan jag inlagt denna protest mot de uttalanden, som kommo från herr Bengtsson i Kullen, få yrka bifall till utskottets hemställan.</w:t>
      </w:r>
    </w:p>
    <w:p>
      <w:pPr>
        <w:pStyle w:val="Heading2"/>
      </w:pPr>
      <w:r>
        <w:t>2. unknown (–, –)</w:t>
      </w:r>
    </w:p>
    <w:p>
      <w:r>
        <w:rPr>
          <w:b w:val="0"/>
        </w:rPr>
        <w:t>Herr talman, mina herrar! Ang: vilande De vilande grundlagsändringsförslag, som väl om en stund komma neg att av riksdagen konfirmeras, ha ju en ganska betydande räckvidd, då lagsändringar. de komma att efter delvis andra principer omgestalta det represen- = (Forts) tationsskick, som vi senast haft. Man har velat bygga den nya rösträtten på personlighetsprincipen, och därvid har man, vågar jag säga, gått till överdrift. Man har sagt, att det endast är personen, som man skall räkna med och som har betydelse i detta fall, men man har dock icke vågat eller kunnat taga steget fullt ut, nämligen därhän att alla personer skola hava samma medinflytande i samhället. Jag tror icke heller, att man, om man vill hålla sig inom det förnuftigas område, kan komma därhän, att alla personer i samhället skola hava samma inflytande vid samhällsangelägenheternas avgörande.</w:t>
        <w:br/>
        <w:br/>
        <w:t>Det fanns tidigare en annan princip, då det gällde rättigheterna i samhället, och den principen byggde på de olika samhällsintressenas rätt. Man ansåg icke, att om en samhällsklass var talrikare än andra, denna därför skulle få det avgörande inflytandet, eller att den ensam skulle kunna bestämma över samhällets angelägenheter. I den s. k. ståndsrepresentationen kunde samhällsintressena i ungefär lika mån göra sig gällande, och efter detta fingo vi en riksdag fördelad på två kamrar, där olika samhällslager i ungefär lika grad kunde göra sig gällande. Det fanns icke möjlighet för en enda samhällsklass att ensam dirigera riksdagens beslut.</w:t>
        <w:br/>
        <w:br/>
        <w:t xml:space="preserve">Genom den författningsändring, som nu går igenom, synes man ha kommit därhän, att det blir möjligt för en enda samhällsklass att i det allra närmaste få majoritet åtminstone i andra kammaren. Om man tager med dem, som tidigare fallit för strecken, och utgår från den förutsättningen, att </w:t>
      </w:r>
      <w:r>
        <w:rPr>
          <w:b/>
        </w:rPr>
        <w:t>kvinnorna¹</w:t>
      </w:r>
      <w:r>
        <w:rPr>
          <w:b w:val="0"/>
        </w:rPr>
        <w:t xml:space="preserve"> och 23-åringarna, som nu komma med, komma att fördela sig på de särskilda yrkesgrupperna ungefär lika som de, vilka förut varit upptagna i röstlängd, skall man finna, att de i röstlängd upptagna arbetarna genom borttagande av strecken komma att utgöra 481,944, militärt manskap 14,222, sjömän 15,625, jordbrukares hemmavarande söner samt drängar i jordbruk o. d. 110,522 och övriga jordbruksarbetare 70,786, summa 693,099 personer eller således ungefär 48 4 av sammanlagda antalet i röstlängd upptagna personer vid 1917 års val. Nu kan man säga. att till kategorien arbetare bör man icke rätteligen räkna jordbrukarnas hemmavarande söner. Jag skall också medgiva, att så icke bör ske, men då dessa icke äro uppförda i statistiken i särskild kolumn, kan man icke säkert räkna ut, hur stort antal dessa utgöra. Jag utgår emellertid från den förutsättningen, att de utgöra i runt tal 43,000 personer, och således skulle procenttalet komma att sänkas till 45. Efter denna uträkning komma alltså industri-, jordbruksarbetare och därmed jämförliga att ensamma utgöra 45 Zz av den nya valmanskåren.</w:t>
        <w:br/>
        <w:br/>
        <w:t>Det talas om att just dessa grupper av samhällsmedborgare icke tidigare haft ett tillräckligt inflytande i de allmänna angelägenheternas avgörande. Det kan då nämnas, att förut utgjorde samma</w:t>
        <w:br/>
        <w:br/>
        <w:t>ar. man bort dem, skulle procenttalet utgöra ungefär 37. Således sker</w:t>
        <w:br/>
        <w:br/>
        <w:t>nu en förskjutning till arbetarnas förmån på icke mindre än 8 2. När man har den proportionella valmetoden, som gynnar de talrikare grupperna och de starkare partierna, och man därtill tager med i räkningen, att denna grundlagsändring icke är avsedd att gälla endast för en kortare tid utan helt säkert är avsedd att gälla under en lång tid framåt, och då man tänker på den utveckling, som sedan länge pågått i vårt land, nämligen att industriarbetarnas antal ökas undan för undan, finner man, att om det redan nu kommit så långt, att arbetarna utgöra nära hälften av de röstberättigade, kan den tid vara nära, då de utgöra över hälften av de röstberättigade, och därmed skola de hava möjlighet att i denna kammare insätta en majoritet. Vi veta vad majoritet betyder. Minoriteten har ingenting att säga till om, den har icke möjlighet att kunna göra sig gällande. Vi måste tänka på att under kommande tider andra viktiga samhällsintressen, såsom t. ex. jordbrukarnas, fastighetsägarnas, de lärda och bildade samhällsklassernas intressen komma att var för sig representeras av en mycket liten minoritet. En sund princip då det gäller rösträtt är väl ändå, att de olika samhällsintressena i tillbörlig grad få göra sig gällande. Det är då icke riktigt, att arbetarna tillsammantagna skola hava dubbelt så stor representation eller dubbelt så mycket att säga till om i de allmänna angelägenheterna som sammanlagda antalet jordbukare, arrendatorer och godsägare. Det är väl ändå icke riktigt, att arbetarna skola ha lika mycket att säga till om i allmänna angelägenheter som sammanlagda antalet av övriga yrkesgrupper i detta land.</w:t>
        <w:br/>
        <w:br/>
        <w:t>Man har sagt, att vad som nu genomföres bygger på rättens princip. Jag vågar säga, att så icke är fallet. Det kan icke innebära rättvisa, att de samhällsintressen, som representeras av minoriteten, icke skola kunna få samma tillbörliga inflytande i samhällsangelägenheterna som majoriteten. Det är att hålla på den uppfattning, som man tidigare haft på det internationella området och som man nu där försöker avskriva. Där har man sagt, att den som har makten i sina händer, den som kan sätta upp det största antalet bajonetter, han har rätten på sin sida, därför att han har makt bakom sig. Nu säger man här, att de samhällsintressen, som kunna sätta upp tillräckligt många röstande bakom sig, de ha rätten på sin sida, just därför att de ha makt att genomdriva sina krav. Jag kan icke tro, att ett sådant förhållande kan vara riktigt, då det gäller rösträtt, utan jag tror, att det låg mycken visdom och mycket av rättvisa i de förhållanden, som voro rådande tidigare, nämligen att olika samhällsintressen hade möjlighet att i lika grad göra sig gällande.</w:t>
        <w:br/>
        <w:br/>
        <w:t>Men då frågar man: vilka skola vi avskilja? Ja, man kan fråga de personer, som säga sig hylla personlighetsprincipen: vad är en personlighet? Somliga anse, att varje människa är en person, och det är den väl. Ä andra sidan kan man också säga, att den människa är</w:t>
        <w:br/>
        <w:br/>
        <w:t>en personlighet, som förmår sköta sig själv och sköta sina egna an- Ang. vilande gelägenheter. Om man reflekterar över detta förhållande, måste man förslög til väl medgiva, att det är lika rättvist, att en fjortonårig springpojke, fagsändringar. som försörjer sig själv, skall ha rösträtt, som att en person, som upp- — (Forts) nått en viss ålder men icke kan sköta sig själv, skall ha sådan rätt.</w:t>
        <w:br/>
        <w:br/>
        <w:t>Det torde vara riktigt, att just de, som icke betalt sina skatter, äro</w:t>
        <w:br/>
        <w:br/>
        <w:t>sådana personer, som icke kunnat sköta sig själva och sin egen eko-</w:t>
        <w:br/>
        <w:br/>
        <w:t>nomi. Det kan icke innebära en så oerhörd orättvisa emot dessa, om</w:t>
        <w:br/>
        <w:br/>
        <w:t>de bliva berövade sin rösträtt, isynnerhet som de i huvudsak tillhöra</w:t>
        <w:br/>
        <w:br/>
        <w:t>de grupper, som redan tidigare haft möjlighet att göra sina intressen</w:t>
        <w:br/>
        <w:br/>
        <w:t>gällande i de allmänna angelägenheterna. Av dem som falla för strecken, äro nämligen flertalet arbetare; bland de 320,064 perso-</w:t>
        <w:br/>
        <w:br/>
        <w:t>ner, som falla för strecken, äro t. ex. omkring 200,000 arbetare, och arbetarklassen har ju redan förut en fyllig representation. Arbetar-</w:t>
        <w:br/>
        <w:br/>
        <w:t>na cch med dem likställda ha redan förut möjlighet att sätta in 40 2</w:t>
        <w:br/>
        <w:br/>
        <w:t>av andra kammarens ledamöter och möjlighet att sätta in ungefär</w:t>
        <w:br/>
        <w:br/>
        <w:t>samma antal i första kammaren. Det finnes således intet verkligt</w:t>
        <w:br/>
        <w:br/>
        <w:t>skäl för att påstå, att dessa icke ha en fullt tillfredsställande repre-</w:t>
        <w:br/>
        <w:br/>
        <w:t>sentation 1 riksdagen. Man bör kalla allt vid sitt rätta namn. Det</w:t>
        <w:br/>
        <w:br/>
        <w:t>som det här gäller är icke en strävan efter rättfärdighet utan en</w:t>
        <w:br/>
        <w:br/>
        <w:t>strävan efter odelad makt.</w:t>
        <w:br/>
        <w:br/>
        <w:t>Det är mycket att beklaga, att bakom framdrivandet av denna författningsändring har hela tiden stått hotet, varigenom riksdagens fria prövningsrätt begränsats. Det har framkommit vissa antydningar om att i händelse riksdagen icke ginge med på förändringarna. så skulle det bliva oroligheter här i landet. Det är också att gå tillbaka till de förhållanden, som man nu söker få bort på det internationella området, där man sedan länge från de mindre staternas sida försökt få införd en rättsordning, som giver mesta möjliga rätt åt alla, utan att det skall vara behövligt att tillgripa hot eller våldshandlingar. Men vad gör man i vårt land och inom de olika länderna? Där tillämpar man icke konsekvent samma princip, utan där vill man driva den satsen: får man genom statsmakternas beslut genomfört, vad man önskar, då tar man det, men får man det icke genomfört, då tar man det ändå: då sätter man samhället i gungning. Det är ingen skillnad på denna taktik och den som tillämpades på det internationella området. När de olika länderna icke genom förhandlingar och genom den organisation på det internationella området, som redan fanns, finge igenom. vad de ville, så satte man hela världen i gungning genom krig. Att tillämpa samma förfarande inom länderna är icke att gå framåt utan att gå tillbaka, och det är att beklaga, att även under senaste dagarna hotet om att sätta samhället i gungning framkommit. Det finns enligt min mening principiellt ingen skillnad, om man talar om den pansrade näven, eller man säger, att man skall taga itu med »hårdhandskarna».</w:t>
        <w:br/>
        <w:br/>
        <w:t xml:space="preserve">Det är att beklaga, att saken ligger så till. att frågan om skatteskolkarnas rösträtt sammanblandets med frågan om </w:t>
      </w:r>
      <w:r>
        <w:rPr>
          <w:b/>
        </w:rPr>
        <w:t>kvinnornas¹</w:t>
      </w:r>
      <w:r>
        <w:rPr>
          <w:b w:val="0"/>
        </w:rPr>
        <w:t xml:space="preserve"> rösträtt. Mot </w:t>
      </w:r>
      <w:r>
        <w:rPr>
          <w:b/>
        </w:rPr>
        <w:t>kvinnornas¹</w:t>
      </w:r>
      <w:r>
        <w:rPr>
          <w:b w:val="0"/>
        </w:rPr>
        <w:t xml:space="preserve"> rösträtt kunna icke framföras samma anmärkningar som mot skatteskolkarnas rösträtt, även om man är av den</w:t>
        <w:br/>
        <w:br/>
        <w:t xml:space="preserve">övertygelsen. att det ändå är litet väl mycket att på en enda gång släppa fram hela massan av </w:t>
      </w:r>
      <w:r>
        <w:rPr>
          <w:b/>
        </w:rPr>
        <w:t>kvinnor¹</w:t>
      </w:r>
      <w:r>
        <w:rPr>
          <w:b w:val="0"/>
        </w:rPr>
        <w:t>, uppgående till c:a 1 !/; miljon. Det skulle väl ändå varit försiktigare, om man genomfört denna rösträtt successivt.</w:t>
        <w:br/>
        <w:br/>
        <w:t xml:space="preserve">För min del vill jag icke vara med om ett avslagsyrkande på </w:t>
      </w:r>
      <w:r>
        <w:rPr>
          <w:b/>
        </w:rPr>
        <w:t>kvinnornas¹</w:t>
      </w:r>
      <w:r>
        <w:rPr>
          <w:b w:val="0"/>
        </w:rPr>
        <w:t xml:space="preserve"> rösträtt, därför att den har starka skäl för sig, men med hänsyn till att det föreliggande förslaget i sig innebär en bestämmelse om skattestreckets och jämväl övriga strecks slopande, kan jag för min del icke vara med om detta beslut, som kammaren här kommer att fatta, utan jag ber, herr talman, att få yrka avslag.</w:t>
      </w:r>
    </w:p>
    <w:p>
      <w:pPr>
        <w:pStyle w:val="Heading2"/>
      </w:pPr>
      <w:r>
        <w:t>3. Jones Erik Andersson (Bondeförbundet, man)</w:t>
      </w:r>
    </w:p>
    <w:p>
      <w:r>
        <w:rPr>
          <w:b w:val="0"/>
        </w:rPr>
        <w:t>Herr talman! Jag hade ej tänkt uppträda i denna sak, ty det kan ju synas tämligen onödigt att ingå i svaromål på de beskyllningar som min ärade sidokamrat framkommit med, men så mycket vill jag ändå i detta sammanhang säga, att jag först och främst vill till kammaren hemställa, vem av oss båda som skrek och vräkte ur sig.</w:t>
        <w:br/>
        <w:br/>
        <w:t>För det andra vill jag uttala en bestämd protest mot hans värdesättning av de grupper i samhället, till vilka jag har äran att räkna mig. Han gav det betyg åt oss, att vi hörde enbart till dem som sitta på våra egendomar, åka på lassen och knycka från andra, äro hutlösa och skamlösa i högsta grad o. s. v. Jag tänker nog, att dessa uttalanden grunda sig på en stor okunnighet om de verkliga förhållanden i vilka vi leva, åtminstone däruppe i mina hemtrakter, och skulle, herr Månsson komma dit upp och träffa mig, nog skulle jag bjuda honom att åka på lasset och själv gå, det är då alldeles säkert.</w:t>
        <w:br/>
        <w:br/>
        <w:t xml:space="preserve">För övrigt skall jag beträffande det där talet om att vi äro lättjefulla varelser, som endast leva på andra, be att få säga, att vi tillämpa ännu icke åttatimmarsarbetsdagen någon av oss däruppe, utan vi få börja, såväl man som </w:t>
      </w:r>
      <w:r>
        <w:rPr>
          <w:b/>
        </w:rPr>
        <w:t>kvinna¹</w:t>
      </w:r>
      <w:r>
        <w:rPr>
          <w:b w:val="0"/>
        </w:rPr>
        <w:t>, vår arbetsdag redan klockan 5 på morgnarna och icke sluta förrän klockan 10 å 11 på kvällen nästan dagligen, åtminstone under hela den långa sommartiden. Är det rättvist, att komma med dylika hårda beskyllningar, som herr Månsson här nyss behagat framställa, mot denna träget arbetande klass i samhället? Jag må verkligen fråga det.</w:t>
        <w:br/>
        <w:br/>
        <w:t>Det vore nog åtskilligt mer att tillägga i detta avseende, men jag skall nöja mig med detta och överlämna åt herrarna själva att bedöma, var den bästa vederhäftigheten i detta fall är tillfinnandes.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1487</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