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390</w:t>
      </w:r>
    </w:p>
    <w:p>
      <w:r>
        <w:rPr>
          <w:b/>
        </w:rPr>
        <w:t xml:space="preserve">Datum: </w:t>
      </w:r>
      <w:r>
        <w:t>1921-01-20</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Axel Reuterskiöld (Utan partibeteckning, man)</w:t>
      </w:r>
    </w:p>
    <w:p>
      <w:r>
        <w:rPr>
          <w:b w:val="0"/>
        </w:rPr>
        <w:t xml:space="preserve">Herr greve och talman, mina herrar! Grundlags- Det nu föreliggande förslaget är en komplettering av det under nr 7 anäringar och avser </w:t>
      </w:r>
      <w:r>
        <w:rPr>
          <w:b/>
        </w:rPr>
        <w:t>kvinnornas¹</w:t>
      </w:r>
      <w:r>
        <w:rPr>
          <w:b w:val="0"/>
        </w:rPr>
        <w:t xml:space="preserve"> rätt till ämbeten. I den föregående debatten bör-, &gt; jilliräde jade min ärade kollega på samma länsbänk som jag sitt anförande med till statsen välsignelse över </w:t>
      </w:r>
      <w:r>
        <w:rPr>
          <w:b/>
        </w:rPr>
        <w:t>kvinnornas¹</w:t>
      </w:r>
      <w:r>
        <w:rPr>
          <w:b w:val="0"/>
        </w:rPr>
        <w:t xml:space="preserve"> idealitet för att sedermera litet längre = tjänst. fram komma med en reservation för deras ”giraffintelligens”. För min del vill jag icke instämma i vare sig det ena eller det andra. Jag anser, beträffande både intelligensen och idealiteten, att det är ungefär sak samma med man och </w:t>
      </w:r>
      <w:r>
        <w:rPr>
          <w:b/>
        </w:rPr>
        <w:t>kvinna¹</w:t>
      </w:r>
      <w:r>
        <w:rPr>
          <w:b w:val="0"/>
        </w:rPr>
        <w:t>. Men det finns andra förhållanden, som kunna behöva beaktas, när det gäller en sådan grundlagsändring som den nu förevarande. Jag vill därvidlag säga, att vad man vinner genom denna grundlagsändring är blott en formell likställighet, som saknar all reell grund. Jag tror icke, att jag behöver längre upptaga kammarens tid med att gå in på denna fråga. Den debatterades delvis i äktenskapsdebatten förra året, och jag vill nu endast och allenast betona, att när man får denna formella likställighet, uppoffrar man enligt min åskådning helt andra och långt betydelsefullare värden. Ur den synpunkten är det som jag här nödgas yrka avslag. :</w:t>
        <w:br/>
        <w:br/>
        <w:t>Jag vill emellertid tillägga ett ord. Det föreliggande förslaget bör</w:t>
        <w:br/>
        <w:br/>
        <w:t xml:space="preserve">nämligen sammanställas med det kommittébetänkande rörande befattningar, som </w:t>
      </w:r>
      <w:r>
        <w:rPr>
          <w:b/>
        </w:rPr>
        <w:t>kvinnorna¹</w:t>
      </w:r>
      <w:r>
        <w:rPr>
          <w:b w:val="0"/>
        </w:rPr>
        <w:t xml:space="preserve"> skola få bekläda, vilket tidningarna nyss hava</w:t>
        <w:br/>
        <w:br/>
        <w:t>nors tillträde OMtalat. Det synes mig, därest tidningsreferaten äro riktiga, som om</w:t>
        <w:br/>
        <w:br/>
        <w:t>detta betänkande går ut från andra grundsatser och delvis andra grundlagsbestämmelser än som föreligga i detta förslag. Det förefaller mig, som om det under sådana förhållanden vore önskvärt att taga ännu en tids funderare på saken, om denna grundlagsändring verkligen är nyttig och nödig. Jag anser densamma varken vara nödig eller nyttig och därför, herr greve och talman, ber jag att få yrka avslag.</w:t>
      </w:r>
    </w:p>
    <w:p>
      <w:pPr>
        <w:pStyle w:val="Heading2"/>
      </w:pPr>
      <w:r>
        <w:t>2. Einar Thulin (Socialdemokraterna, man)</w:t>
      </w:r>
    </w:p>
    <w:p>
      <w:r>
        <w:rPr>
          <w:b w:val="0"/>
        </w:rPr>
        <w:t>Såsom herr Reuterskiöld erinrat, förekom ju denna fråga vid föregående riksdag och underkastades då här i kammaren en ganska ingående behandling. Resultatet var, att kammaren med 56 röster mot 47 biföll det av konstitutionsutskottet då tillstyrkta förslaget till ändringar i grundlagen.</w:t>
        <w:br/>
        <w:br/>
        <w:t xml:space="preserve">Sedan detta beslut fattades, har första kammaren icke i avseende på sin sammansättning undergått någon nämnvärd förändring; icke heller har det inträtt några som helst omständigheter sedan kammaren sist debatterade frågan, som kunna anses utgöra skäl för en ändrad ståndpunkt från kammarens sida. Genom de beslut, som i dag fattats, har den fulla medborgarrätten lämnats åt </w:t>
      </w:r>
      <w:r>
        <w:rPr>
          <w:b/>
        </w:rPr>
        <w:t>kvinnorna¹</w:t>
      </w:r>
      <w:r>
        <w:rPr>
          <w:b w:val="0"/>
        </w:rPr>
        <w:t xml:space="preserve">. I konsekvens därmed synes det mig, som om man också borde i dag här i kammaren lämna sitt bifall till undanröjande av de grundlagsenliga hinder, som nu föreligga, för </w:t>
      </w:r>
      <w:r>
        <w:rPr>
          <w:b/>
        </w:rPr>
        <w:t>kvinnors¹</w:t>
      </w:r>
      <w:r>
        <w:rPr>
          <w:b w:val="0"/>
        </w:rPr>
        <w:t xml:space="preserve"> tillträde till statstjänst. En senare fråga blir ju, såsom herr Reuterskiöld redan påpekat, i vilken grad och på vilka villkor statstjänsten skall öppnas för </w:t>
      </w:r>
      <w:r>
        <w:rPr>
          <w:b/>
        </w:rPr>
        <w:t>kvinnorna¹</w:t>
      </w:r>
      <w:r>
        <w:rPr>
          <w:b w:val="0"/>
        </w:rPr>
        <w:t>. Detta skall emellertid regleras genom särskilda av Kungl. Maj:t och riksdagen fattade beslut, och den frågan återkommer sålunda.</w:t>
        <w:br/>
        <w:br/>
        <w:t>På grund av vad jag yttrat, tillåter jag mig, herr talman, att yrka bifall till det nu föredragna vilande grundlagsändringsförslaget.</w:t>
      </w:r>
    </w:p>
    <w:p>
      <w:pPr>
        <w:pStyle w:val="Heading2"/>
      </w:pPr>
      <w:r>
        <w:t>3. Samuel Clason (Första kammarens nationella parti, man)</w:t>
      </w:r>
    </w:p>
    <w:p>
      <w:r>
        <w:rPr>
          <w:b w:val="0"/>
        </w:rPr>
        <w:t>Jag skall först be att få göra ett litet tillägg till den siste ärade talarens historik över denna frågas behandling vid sista riksdagen. Det är alldeles riktigt, att kammaren med 56 röster mot 47 antog det nu föreliggande förslaget såsom vilande till vidare grundlagsenlig behandling. Men kammaren var icke sadelfastare i sin övertygelse om att just denna väg borde väljas, då man skrede till denna reform, än att kammaren ögonblicket därefter i en annan votering med 50 röster mot 52 också antog vilande ett annat förslag till lydelse av dessa grundlagsparagrafer, ett förslag som skilde sig från detta därigenom, att från de platser, som det här skulle gälla, undantogos statsrådsbefattningar, domareämbeten, militära och civilmilitära ämbeten samt prästerliga tjänster och att dessa undantag inskrevos i grundlagen. Om kammaren någonsin står fri beträffande ett grundlagsändringsförslag, måtte det väl därför vara i detta fall, då kammaren genom sina föregående voteringar sagt ifrån att kammaren vill ha möjlighet att välja mellan olika lydelser.</w:t>
        <w:br/>
        <w:br/>
        <w:t xml:space="preserve">Beträffande sakens principiella läge har jag ingenting att tillägga Grundlagstill vad jag yttrade vid föregående riksdag, men jag skall be att få fästa ändringar uppmärksamheten vid en formell fråga, som för mig utgör bestämt, ae hinder att ansluta mig till det föreliggande förslaget. Förhållandet är, till stats- | att man, sedan det rörande förslagets tillämpning avgivna kommitté- = tjänst. betänkandet nu kommit till synes, därav finner, att kommittén tänkt sig (Forts) att man dels genom särskild lagstiftning, dels genom beslut fattade i statsregleringsform skulle undantaga vissa ämbeten från att beklädas av </w:t>
      </w:r>
      <w:r>
        <w:rPr>
          <w:b/>
        </w:rPr>
        <w:t>kvinnor¹</w:t>
      </w:r>
      <w:r>
        <w:rPr>
          <w:b w:val="0"/>
        </w:rPr>
        <w:t xml:space="preserve"> och andra från att beklädas av män. Såvitt jag förstår, blir detta alltså icke någon principiell likställighet. Det är emellertid en sak som vi komma till senare. Men jag kan icke inse huru det är möjligt att i grundlagen bibehålla den nuvarande bestämmelsen att vid alla befordringar Konungen endast skall taga hänsyn till ”skicklighet och förtjänst”, om man därvid tänker sig att man i andra lagar eller rent av i statsregleringsbeslut skall sätta in bestämmelser som skulle nödga Konungen att också vid befordringar taga hänsyn till kön. Såvitt jag förstår, är det formellt sett en alldeles orimlig väg som jag icke tror att man i tidigare fall slagit in på.</w:t>
        <w:br/>
        <w:br/>
        <w:t xml:space="preserve">Det var helt annat med det von Geijerska förslaget som supplementärt antogs vid sistlidne års riksdag. Detta förslag förutsatte liksom den nuvarande grundlagen att skicklighet och förtjänst skulle vara ensamma befordringsgrunder, men insatte också i själva grundlagen frågan om vilka befattningar som skulle beklädas med män och vilka som skulle beklädas med </w:t>
      </w:r>
      <w:r>
        <w:rPr>
          <w:b/>
        </w:rPr>
        <w:t>kvinnor¹</w:t>
      </w:r>
      <w:r>
        <w:rPr>
          <w:b w:val="0"/>
        </w:rPr>
        <w:t>. Dessa bestämmelser måste naturligtvis tolkas vid sidan av varandra; de voro båda två grundlagsbestämmelser och skulle såsom sådana hava alldeles samma kraft. Att däremot i grundlagen behålla den allmänna bestämmelsen om befattningars tillsättande enbart efter skicklighet och förtjänst, men därjämte tänka sig att man genom vanlig civillag eller statsregleringsbeslut kan få in en bestämmelse om att hänsyn i vissa fall skall tagas även till kön, det tror jag är ganska orimligt. Det är också ett skäl varför jag biträder herr Reuterskiölds avslagsyrkande.</w:t>
      </w:r>
    </w:p>
    <w:p>
      <w:pPr>
        <w:pStyle w:val="Heading2"/>
      </w:pPr>
      <w:r>
        <w:t>4. Oscar Olsson (Socialdemokraterna, man)</w:t>
      </w:r>
    </w:p>
    <w:p>
      <w:r>
        <w:rPr>
          <w:b w:val="0"/>
        </w:rPr>
        <w:t>Det är två saker, som kanske i någon mån här behövde påpekas.</w:t>
        <w:br/>
        <w:br/>
        <w:t>Den första, som herr Clason påminde om, är att riksdagen kanske icke skulle varit tillräckligt sadelfast vid fattandet av sitt beslut angående det förslag, som här föreligger från konstitutionsutskottet, därför att kammaren omedelbart efter dess antagande i fjol med 50 röster mot 52 antog ett annat förslag. Jag vill då fästa uppmärksamheten på att med den propositionsordning, som tillämpas, när det gäller grundlagsförslag, uppstår det ganska lätt vid dessa tillfällen en förvirring, som nog kan förklara denna s. k. brist på sadelfasthet.</w:t>
        <w:br/>
        <w:br/>
        <w:t>Men det viktigaste var herr Clasons anmärkning rörande oformligheten av att antaga detta förslag, därför att Konungen icke skulle kunna följa grundlagens bud att endast taga hänsyn till förtjänst och skicklig-</w:t>
        <w:br/>
        <w:br/>
        <w:t>het. Jag tycker ändå, att detta resonemang smakar bra mycket av formell spetsfundighet. Det ligger väl ändå i sakens natur, att då en</w:t>
        <w:br/>
        <w:br/>
        <w:t>nors tillträdesådan bestämmelse finnes, betyder detta, att då icke man eller icke</w:t>
        <w:br/>
        <w:br/>
      </w:r>
      <w:r>
        <w:rPr>
          <w:b/>
        </w:rPr>
        <w:t>kvinna¹</w:t>
      </w:r>
      <w:r>
        <w:rPr>
          <w:b w:val="0"/>
        </w:rPr>
        <w:t xml:space="preserve"> är berättigad till det ämbete, varom är fråga, Konungen äger att bland dem som äro berättigade till ämbetet endast taga hänsyn till förtjänst och skicklighet. Jag tycker, att man icke kan gå hur långt som helst i skolastiska formuleringshistorier, ens då det gäller Sveriges rikes grundlagar. '</w:t>
        <w:br/>
        <w:br/>
        <w:t>Jag yrkar, herr talman, bifall till föreliggande förslag.</w:t>
        <w:br/>
        <w:br/>
        <w:t>Efter härmed slutad överläggning gjordes i enlighet med de yrkanden, som framkommit i avseende å nu föredragna punkt, propositioner, först på antagande av det i punkten införda grundlagsändringsförslaget samt vidare på förkastande av detsamma ; och förklarades den förra pro- Positionen, vilken förnyades, vara med övervägande ja besvarad.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