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397</w:t>
      </w:r>
    </w:p>
    <w:p>
      <w:r>
        <w:rPr>
          <w:b/>
        </w:rPr>
        <w:t xml:space="preserve">Datum: </w:t>
      </w:r>
      <w:r>
        <w:t>1921-04-02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Trots de vackra ord, som den siste ärade talaren fällde om folkskollärarna, måste jag erkänna, att jag i min uppfattning kommer närmast till herr Alexanderson och skulle därför vilja instämma med honom. Jag ber emellertid att få lämna några upplysningar, som möjligen kunna hava inflytande på sakens avgörande. För det första är det ett icke framhållet faktum, att kommissionen under hela den tid, den behandlat den fråga, som här är före, eller frågan om Ööveransträngning i skolorna, tillkallat fyra läkare, två manliga och två </w:t>
      </w:r>
      <w:r>
        <w:rPr>
          <w:b/>
        </w:rPr>
        <w:t>kvinnliga¹</w:t>
      </w:r>
      <w:r>
        <w:rPr>
          <w:b w:val="0"/>
        </w:rPr>
        <w:t>, på sitt område de mest kompetenta, för att samarbeta med kommissionen. Och dessa hava följt arbetet hela tiden. För det andra detta, att alla skolformer äro representerade i skolkommissionen och även föräldraintresset är tillgodosett där. Och slutligen har ecklesiastikministern offentligt i tidningarna uttalat sig om och låtit förstå, att skolkommissionen har sin särskilda uppmärksamhet fästad just vid överansträngningen, och att man skulle försöka råda bot för denna genom annan ämnesfördelning och genom utmönstring av vissa ämnen i studentexamen, så att den blir mera koncentrerad. Och jag vill tillägga, att kommissionens arbete nu framskridit så långt, att en del av utlåtandet justerats och är under tryckning. Det vore väl ganska orimligt, om man nu skulle sätta till nya representanter, som skulle riva upp alltsammans, när kommissionen är så nära slutet på sitt arbete.</w:t>
        <w:br/>
        <w:br/>
        <w:t>Jag ber att få instämma i det av herr Alexanderson framställda yrkandet.</w:t>
      </w:r>
    </w:p>
    <w:p>
      <w:pPr>
        <w:pStyle w:val="Heading2"/>
      </w:pPr>
      <w:r>
        <w:t>2. Karl August Nilson (Liberala samlingspartiet, man)</w:t>
      </w:r>
    </w:p>
    <w:p>
      <w:r>
        <w:rPr>
          <w:b w:val="0"/>
        </w:rPr>
        <w:t>Jag beklagar endast, att denna allvarliga fråga tyckes tagas mindre allvarligt här i kammaren i dag. Det är i vårt land hundratals familjer, som se på denna fråga på helt annat sätt, än som i dag här kommit till synes, och jag tror icke, att denna fråga kan läggas upp efter sådana skolmästarsynpunkter, som vi fått vara med om här i dag. Det är nog andra synpunkter som böra läggas på den. Och med all aktning för herrar lärare är det nog alltid så, att de se saken från sin synpunkt och icke från hemmens. Hemmens</w:t>
        <w:br/>
        <w:br/>
        <w:t xml:space="preserve">synpunkt, det veta vi alla, är en helt annan. Erfarenheten vittnar omOm åtgärder att det förekommer svår överansträngning under vissa ålderstider, både mat skolungför gossar och allra mest för </w:t>
      </w:r>
      <w:r>
        <w:rPr>
          <w:b/>
        </w:rPr>
        <w:t>flickor²</w:t>
      </w:r>
      <w:r>
        <w:rPr>
          <w:b w:val="0"/>
        </w:rPr>
        <w:t>, och det är ganska olika förhållanöver den på olika platser. Det finnes elementarläroverk, som tillämpa mera anstränglämpliga undervisningsplaner och anordningar för undervisningen. Vid = ning. andra däremot har man icke kommit till sådan insikt i frågan utan går (Forts.) efter gamla normer och gamla principer, gamla skoltyper, och sådant behöver naturligtvis skolkommissionen taga hand om.</w:t>
        <w:br/>
        <w:br/>
        <w:t>Herr Alexanderson påstod, att det var hemmens fel. Det kan naturligtvis vara så i 'många fall. Men då herr Alexanderson talade om att barnen besöka teatrar och biografer i stället för att stanna hemma och lära sig sina hemläxor, då talade han om Stockholmsförhållanden, och Stockholm är gud ske lov icke hela Sverige ännu, och sådana förhållanden som finnas i Stockholm existera icke i landsorten eller i de mindre städerna.</w:t>
        <w:br/>
        <w:br/>
        <w:t>Vad blir nu resultatet, om kammaren avslår denna utskottets hemställan i dag? Jo, naturligtvis att kammaren därmed har skrivit under herrar Alexandersons, Reuterskiölds och Olssons mening, att det icke förekommer någon överansträngning i skolorna. Ett sådant underskrivande kan jag för min del icke vara med om, och därför, herr talman, hemställer jag, att kammaren såsom en opinionsyttring måtte bifalla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