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1550</w:t>
      </w:r>
    </w:p>
    <w:p>
      <w:r>
        <w:rPr>
          <w:b/>
        </w:rPr>
        <w:t xml:space="preserve">Datum: </w:t>
      </w:r>
      <w:r>
        <w:t>1922-03-15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Vennerström (Socialdemokraterna, man)</w:t>
      </w:r>
    </w:p>
    <w:p>
      <w:r>
        <w:rPr>
          <w:b w:val="0"/>
        </w:rPr>
        <w:t xml:space="preserve">Herr förste vice talman! Jag har endast begärt ordet för att vid denna punkt påtala ett förhållande, som enligt min tanke är ett missförhållande. Det har nämligen meddelats mig, att man vid vissa privata </w:t>
      </w:r>
      <w:r>
        <w:rPr>
          <w:b/>
        </w:rPr>
        <w:t>flickskolor²</w:t>
      </w:r>
      <w:r>
        <w:rPr>
          <w:b w:val="0"/>
        </w:rPr>
        <w:t xml:space="preserve"> tillämpar en tämligen hårdhjärtad praxis gentemot sådana </w:t>
      </w:r>
      <w:r>
        <w:rPr>
          <w:b/>
        </w:rPr>
        <w:t>lärarinnor³</w:t>
      </w:r>
      <w:r>
        <w:rPr>
          <w:b w:val="0"/>
        </w:rPr>
        <w:t xml:space="preserve">, som antingen stå i begrepp att ingå äktenskap eller också redan gjort det. Det förelåg nyligen ett fall, då en </w:t>
      </w:r>
      <w:r>
        <w:rPr>
          <w:b/>
        </w:rPr>
        <w:t>lärarinna³</w:t>
      </w:r>
      <w:r>
        <w:rPr>
          <w:b w:val="0"/>
        </w:rPr>
        <w:t xml:space="preserve">, som var förlovad och tänkte gifta sig, fick det ganska avkylande svaret, att </w:t>
      </w:r>
      <w:r>
        <w:rPr>
          <w:b/>
        </w:rPr>
        <w:t>hon²</w:t>
      </w:r>
      <w:r>
        <w:rPr>
          <w:b w:val="0"/>
        </w:rPr>
        <w:t xml:space="preserve"> i sådant fall skulle avföras såsom </w:t>
      </w:r>
      <w:r>
        <w:rPr>
          <w:b/>
        </w:rPr>
        <w:t>lärarinna³</w:t>
      </w:r>
      <w:r>
        <w:rPr>
          <w:b w:val="0"/>
        </w:rPr>
        <w:t xml:space="preserve"> vid det ifrågavarande läroverket. Det finnes även ett annat fall, då en synnerligen högt kvalificerad </w:t>
      </w:r>
      <w:r>
        <w:rPr>
          <w:b/>
        </w:rPr>
        <w:t>lärarinna³</w:t>
      </w:r>
      <w:r>
        <w:rPr>
          <w:b w:val="0"/>
        </w:rPr>
        <w:t xml:space="preserve">, som ojämförligt var den bästa av alla, som sökte befattningen ifråga, fick det svaret, att då </w:t>
      </w:r>
      <w:r>
        <w:rPr>
          <w:b/>
        </w:rPr>
        <w:t>hon²</w:t>
      </w:r>
      <w:r>
        <w:rPr>
          <w:b w:val="0"/>
        </w:rPr>
        <w:t xml:space="preserve"> var förlovad, kunde </w:t>
      </w:r>
      <w:r>
        <w:rPr>
          <w:b/>
        </w:rPr>
        <w:t>hon²</w:t>
      </w:r>
      <w:r>
        <w:rPr>
          <w:b w:val="0"/>
        </w:rPr>
        <w:t xml:space="preserve"> alldeles icke reflektera på befattningen. "Det har även meddelats att den byrå, som </w:t>
      </w:r>
      <w:r>
        <w:rPr>
          <w:b/>
        </w:rPr>
        <w:t>flickoch²</w:t>
      </w:r>
      <w:r>
        <w:rPr>
          <w:b w:val="0"/>
        </w:rPr>
        <w:t xml:space="preserve"> samskoleföreningen har, plägar avråda skolföreståndarinnorna från att i sina läroverk antaga gifta </w:t>
      </w:r>
      <w:r>
        <w:rPr>
          <w:b/>
        </w:rPr>
        <w:t>lärarinnor³</w:t>
      </w:r>
      <w:r>
        <w:rPr>
          <w:b w:val="0"/>
        </w:rPr>
        <w:t>. Man avviker i detta fall vid dessa privata, men av staten understödda läroverk från den praxis, som allmänt tillämpas vid statens egna läroverk. Såväl vid folkskolorna som de högre folkskolorna och även vid de kommunala mellanskolorna och statens samskolor anses ju för närvarande som bekant giftermål icke vara en vederbörlig diskvalifikationsgrund. Det synes mig då vara tämligen uppenbart, att statsmakterna böra sörja för att även vid de läroverk, till vilka de lämna understöd, samma praxis tillämpas.</w:t>
        <w:br/>
        <w:br/>
        <w:t xml:space="preserve">Nu hava ju statsmakterna som bekant icke uppställt några villkor i detta avseende vid beviljande av anslag, och det kan icke heller ske nu. Men när så är fallet, synes mig detta missförhållande i alla händelser böra bringas närmare till statsmakternas kännedom. Det kan måhända sägas, att det endast är undantagsfall. Det är möjligt att så är. Nyligen kom en ledamot av denna kammare till mig och meddelade, att i hans hemstad fanns det en </w:t>
      </w:r>
      <w:r>
        <w:rPr>
          <w:b/>
        </w:rPr>
        <w:t>flickskola²</w:t>
      </w:r>
      <w:r>
        <w:rPr>
          <w:b w:val="0"/>
        </w:rPr>
        <w:t>, där till och med föreståndarinnan själv hade begått den rysliga förbrytelsen att gifta sig, utan att detta medfört ämbetets förlust. Men även om de påtalade missförhållandena endast äro undantag böra de försvinna. Ty denna praxis tjänar enligt min bestämda tanke icke någon som helst nyttig samhällsuppgift.</w:t>
        <w:br/>
        <w:br/>
        <w:t xml:space="preserve">Hur den kan verka för den, som drabbas härav, kan jag klargöra med ett citat ur ett brev, som jag erhållit från en </w:t>
      </w:r>
      <w:r>
        <w:rPr>
          <w:b/>
        </w:rPr>
        <w:t>lärarinna³</w:t>
      </w:r>
      <w:r>
        <w:rPr>
          <w:b w:val="0"/>
        </w:rPr>
        <w:t xml:space="preserve">, som själv därför att </w:t>
      </w:r>
      <w:r>
        <w:rPr>
          <w:b/>
        </w:rPr>
        <w:t>hon²</w:t>
      </w:r>
      <w:r>
        <w:rPr>
          <w:b w:val="0"/>
        </w:rPr>
        <w:t xml:space="preserve"> tänkte gifta sig drabbats av bannet från en föreståndarinna vid den skola, där </w:t>
      </w:r>
      <w:r>
        <w:rPr>
          <w:b/>
        </w:rPr>
        <w:t>hon²</w:t>
      </w:r>
      <w:r>
        <w:rPr>
          <w:b w:val="0"/>
        </w:rPr>
        <w:t xml:space="preserve"> varit anställd. </w:t>
      </w:r>
      <w:r>
        <w:rPr>
          <w:b/>
        </w:rPr>
        <w:t>Hon²</w:t>
      </w:r>
      <w:r>
        <w:rPr>
          <w:b w:val="0"/>
        </w:rPr>
        <w:t xml:space="preserve"> säger följande: »Deras metod är i högsta grad ofosterländsk. Den undergräver moralen. Den skapar lönäktenskap och skenhelighet, för hur det är, så måste man leva.&gt; Jag har velat anföra detta Lilla citat för att därmed inför statsmakterna understryka min lilla gensaga mot den oriktiga praxis, som tillämpats i en hel del, jag hoppas, undantagsfall.</w:t>
        <w:br/>
        <w:br/>
        <w:t>Jag har självfallet intet yrkande att göra annat än om bifall, ro men jag har velat bringa saken till statsmakternas kännedom, och (unslaget till</w:t>
        <w:br/>
        <w:br/>
        <w:t>skulle så vara, att vårt ärade statsråd och chef för ecklesiastikde- — privat partementet skulle med sin auktoritet vilja understryka mina synläroverken. punkter, så vore det så mycket bättre. (Forts.)</w:t>
        <w:br/>
        <w:br/>
        <w:t xml:space="preserve">dande av </w:t>
      </w:r>
      <w:r>
        <w:rPr>
          <w:b/>
        </w:rPr>
        <w:t>lärarinnor³</w:t>
      </w:r>
      <w:r>
        <w:rPr>
          <w:b w:val="0"/>
        </w:rPr>
        <w:t xml:space="preserve"> i handarbete anvisa på extra stat för tiden</w:t>
        <w:br/>
        <w:br/>
      </w:r>
      <w:r>
        <w:rPr>
          <w:b/>
        </w:rPr>
        <w:t>kvinnliga¹</w:t>
      </w:r>
      <w:r>
        <w:rPr>
          <w:b w:val="0"/>
        </w:rPr>
        <w:t xml:space="preserve"> yrkesskola i Göteborg samt föreningen Handarbetets vän-</w:t>
      </w:r>
    </w:p>
    <w:p>
      <w:pPr>
        <w:pStyle w:val="Heading2"/>
      </w:pPr>
      <w:r>
        <w:t>2. Axel Euren (Lantmanna- och borgarepartiet inom andrakammaren, man)</w:t>
      </w:r>
    </w:p>
    <w:p>
      <w:r>
        <w:rPr>
          <w:b w:val="0"/>
        </w:rPr>
        <w:t>Ehuru det ju är vanskligt att gentemot det högst respektabla statsutskottet göra en hemställan, så skall jag ändå försöka att göra det, men jag skall fatta mig kort och söka undvika att få en alltför kraftig avbasning av vederbörande.</w:t>
        <w:br/>
        <w:br/>
        <w:t xml:space="preserve">Här har Kungl. Maj:t begärt ett anslag av 31,000 kronor till de tre privata läroverk, som sköta utbildningen av </w:t>
      </w:r>
      <w:r>
        <w:rPr>
          <w:b/>
        </w:rPr>
        <w:t>lärarinnor³</w:t>
      </w:r>
      <w:r>
        <w:rPr>
          <w:b w:val="0"/>
        </w:rPr>
        <w:t xml:space="preserve"> i handarbete. Utskottet har prutat ned detta till 24,000 kronor men tilllagt ett belopp, som skall tjäna såsom tillfällig löneförbättring, av 3,100 kronor, så att summan blir 27,100 kronor. Denna summa understiger således vad Kungl. Maj:t föreslagit med endast 3,900 kronor. Som motiv säger utskottet, att det icke finner tillräckligt bärande skäl vara anförda för den nu föreslagna förhöjningen. Någon vidare motivering består icke utskottet. Men går man till Kungl. Maj:ts framställning, som återfinnes på sid,</w:t>
        <w:br/>
        <w:br/>
        <w:t>vilka dock redan nu äro nödvändiga i den utsträckning, som betingas av utexamineringen från dessa tre läroverk. Skulle den här förut omtalade skolkommissionens förslag bliva genomfört, komma de att bliva behövliga i ännu större antal. För övrigt är deras behövlighet även konstaterad i framställningarna i föregående statsverkspropositioner.</w:t>
        <w:br/>
        <w:br/>
        <w:t xml:space="preserve">Vad beträffar motiven för höjningen, så äro dessa också framställda i propositionen. Förutom ökade hyreskostnader m. m. är det framför allt en behövlig höjning av </w:t>
      </w:r>
      <w:r>
        <w:rPr>
          <w:b/>
        </w:rPr>
        <w:t>lärarinnornas³</w:t>
      </w:r>
      <w:r>
        <w:rPr>
          <w:b w:val="0"/>
        </w:rPr>
        <w:t xml:space="preserve"> löner samt ökade kostnader på grund av nödvändiga utvidgningar av” undervisningsplanen. Vad beträffar höjningen av lärarinnelönerna, så hava alla, som haft att yttra sig därom, uppställt som norm. att här ifrågavarande </w:t>
      </w:r>
      <w:r>
        <w:rPr>
          <w:b/>
        </w:rPr>
        <w:t>lärarinnor³</w:t>
      </w:r>
      <w:r>
        <w:rPr>
          <w:b w:val="0"/>
        </w:rPr>
        <w:t xml:space="preserve"> skola få samma löner som de </w:t>
      </w:r>
      <w:r>
        <w:rPr>
          <w:b/>
        </w:rPr>
        <w:t>lärarinnor³</w:t>
      </w:r>
      <w:r>
        <w:rPr>
          <w:b w:val="0"/>
        </w:rPr>
        <w:t xml:space="preserve">, vilka tjänstgöra vid fackskolan för huslig ekonomi i Uppsala. TI en föregående punkt har nyss bifallits den framställning. som rör denna fackskola, och därmed hava lönerna för dess lärarinnepersonal blivit fastställda. Man måste då säga, att det är en bra rimlig beäran, att </w:t>
      </w:r>
      <w:r>
        <w:rPr>
          <w:b/>
        </w:rPr>
        <w:t>lärarinnorna³</w:t>
      </w:r>
      <w:r>
        <w:rPr>
          <w:b w:val="0"/>
        </w:rPr>
        <w:t xml:space="preserve"> vid de privata seminarierna för utbildande av handarbetslärarinnor skola få lika god avlöning som denna fackskolas </w:t>
      </w:r>
      <w:r>
        <w:rPr>
          <w:b/>
        </w:rPr>
        <w:t>lärarinnor³</w:t>
      </w:r>
      <w:r>
        <w:rPr>
          <w:b w:val="0"/>
        </w:rPr>
        <w:t>. | | &gt; Beträffande ett av dessa läroverk, nämligen Andrea Eneroths handarbetsskola, råder det ända sedan 1912 det speciella förhållandet, att utbildningstiden är fördelad på fyra läseterminer, d. v. s. två år, under det de andra båda ha tiden begränsad till tre terminer. På grund av denna omständighet har även Kungl. Maj:t föreslagit 1.000 kronor mera per år i statsanslag för detta läroverk än för de båda övriga. De senare skulle enligt förslaget erhålla 10,000 kronor vardera och det förstnämnda läroverket 11,000 kronor. Då anslaget här endast avser första halvåret 1923, står alltså en summa av 15,500 kronor gentemot det av utskottet föreslagna beloppet på 13,550 kronor.</w:t>
        <w:br/>
        <w:br/>
        <w:t xml:space="preserve">Hur nu än skolkommissionens förslag kommer att behandlas och utfalla här i riksdagen, äro ändå läroverken ifråga och de från dem utbildade </w:t>
      </w:r>
      <w:r>
        <w:rPr>
          <w:b/>
        </w:rPr>
        <w:t>lärarinnorna³</w:t>
      </w:r>
      <w:r>
        <w:rPr>
          <w:b w:val="0"/>
        </w:rPr>
        <w:t xml:space="preserve"> behövliga. Avlöningen för </w:t>
      </w:r>
      <w:r>
        <w:rPr>
          <w:b/>
        </w:rPr>
        <w:t>lärarinnorna³</w:t>
      </w:r>
      <w:r>
        <w:rPr>
          <w:b w:val="0"/>
        </w:rPr>
        <w:t xml:space="preserve"> vid dessa läroverk ställer sig nu så, att de i regel ha mindre lön, än vad de av dem utexaminerade lärjungarna erhålla, när de komma såsom arbetslärarinnor vid sina respektive läroanstalter.</w:t>
        <w:br/>
        <w:br/>
        <w:t xml:space="preserve">Ehuru jag väl senterar det sparsamhetsnit som hos statsutskottet gör sig gällande och som tidsomständigheterna göra fullt berättigat, måste jag ändå av dessa grunder anse, att denna lilla besparing på 3,900 kronor per år, som det här gäller, är oberättigad. Det är dock huvudsakligen endast fråga om att förbättra dessa svagt avlönade </w:t>
      </w:r>
      <w:r>
        <w:rPr>
          <w:b/>
        </w:rPr>
        <w:t>lärarinnors³</w:t>
      </w:r>
      <w:r>
        <w:rPr>
          <w:b w:val="0"/>
        </w:rPr>
        <w:t xml:space="preserve"> löner till likhet med fackskolelärarinnornas i</w:t>
        <w:br/>
        <w:br/>
        <w:t>Uppsala, i fråga om vilka alla vederbörande, genom att bevilja dem under ä deras avlöning, ha erkänt, att lönekravet är berättigat. vissa anslaller</w:t>
        <w:br/>
        <w:br/>
        <w:t xml:space="preserve">Jag tycker, att det är bra litet, man vinner genom en avprutför utbildande ning, och, hur vanskligt jag än inser det vara, tillåter jag mig därför av </w:t>
      </w:r>
      <w:r>
        <w:rPr>
          <w:b/>
        </w:rPr>
        <w:t>lärarinnor³</w:t>
      </w:r>
      <w:r>
        <w:rPr>
          <w:b w:val="0"/>
        </w:rPr>
        <w:t xml:space="preserve"> hemställa, om icke Kungl. Maj:ts proposition skulle kunna vinna i handarbete. kammarehs beaktande. Jag hoppas, att möjligtvis herr statsrådet (Forts.) och chefen för ecklesiastikdepartementet åtminstone ville vitsorda riktigheten och rimligheten av min framställning.</w:t>
        <w:br/>
        <w:br/>
        <w:t>Herr talman! Jag ber på anförda grunder att få 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