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1552</w:t>
      </w:r>
    </w:p>
    <w:p>
      <w:r>
        <w:rPr>
          <w:b/>
        </w:rPr>
        <w:t xml:space="preserve">Datum: </w:t>
      </w:r>
      <w:r>
        <w:t>1922-03-21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Oskar Hagman (Socialdemokraterna, man)</w:t>
      </w:r>
    </w:p>
    <w:p>
      <w:r>
        <w:rPr>
          <w:b w:val="0"/>
        </w:rPr>
        <w:t>Herr talman! Som herrarna behagade finna, har jag vid denna punkt i statsutskottets föreliggande utlåtande motionsledes tillåtit mig hemställa, att det understödsbelopp, som hittills utgått till de äldre tobaksarbetarna, vilka icke längre kunna beredas anställning vid monopolet, måtte höjas med 50 2.</w:t>
        <w:br/>
        <w:br/>
        <w:t xml:space="preserve">Det är ju så, att vi här i kammaren vid många föregående tillfällen ha haft anledning sysselsätta oss med dessa rester av tobaksarbetarekåren, som på grund av monopolets införande berövades tillfälle att arbeta i sitt eget yrke. Vid 1920 års riksdag beslöts på framställning av Kungl. Maj:t att anslå ett belopp av 140,000 kronor, som ställdes till arbetslöshetskommissionens disposition för att efter vissa i nämnda riksdagsbeslut angivna grunder fördelas bland de arbetslösa f. d. tobaksarbetarna. Understödet utgår med 400 kronor om året för ensamstående </w:t>
      </w:r>
      <w:r>
        <w:rPr>
          <w:b/>
        </w:rPr>
        <w:t>kvinna¹</w:t>
      </w:r>
      <w:r>
        <w:rPr>
          <w:b w:val="0"/>
        </w:rPr>
        <w:t xml:space="preserve"> samt med högst 700 kronor per år i det fall, där både man och </w:t>
      </w:r>
      <w:r>
        <w:rPr>
          <w:b/>
        </w:rPr>
        <w:t>hustru²</w:t>
      </w:r>
      <w:r>
        <w:rPr>
          <w:b w:val="0"/>
        </w:rPr>
        <w:t xml:space="preserve"> tillhört tobaksarbetare-</w:t>
        <w:br/>
        <w:br/>
        <w:t>kåren och befinna sig i detta hjälplösa läge. Det antal personer, som under åren 1920, 1921 och 1922 åtnjutit och åtnjuta understöd av dessa medel, uppgår till mellan fyraoch femhundra personer.</w:t>
        <w:br/>
        <w:br/>
        <w:t xml:space="preserve">Nu förstår ju var och en, huru omöjligt det i själva verket är att existera på dessa låga understödsbelopp, och då de flesta av dessa personer, nämligen ej mindre än 178, äro bosatta här i Stockholm, så räcka dessa 400 kronor icke ens till hyra för bostad, ännu mindre till att tillfredsställa alla därutöver liggande behov. Härtill kommer, att den personal, som 'Tobaksmonopolet senare nödgats entlediga på grund av driftens koncentration och den rådande allmänna depressionen, blivit genom Tobaksmonopolet tillerkänd pensioner, som äro väsentligt högre än dessa belopp, som utgå av statsmedel till resterna av tobaksarbetarekåren. Sålunda ha från monopolet för närvarande entledigats 195 personer, vilka tillerkänts en ersättning av 35 kronor per vecka för män och 30 kronor per vecka för </w:t>
      </w:r>
      <w:r>
        <w:rPr>
          <w:b/>
        </w:rPr>
        <w:t>kvinnor¹</w:t>
      </w:r>
      <w:r>
        <w:rPr>
          <w:b w:val="0"/>
        </w:rPr>
        <w:t xml:space="preserve">. Och så snart de redan beslutade pensionsbestämmelserna äro klara och pensionsbrev blivit vederbörligen utfärdade, är det meningen, att vederbörande, som varit anställda i fem år inom monopolet, skulle komma i åtnjutande av en pension av 1,060 kronor per år för män och 600 kronor för </w:t>
      </w:r>
      <w:r>
        <w:rPr>
          <w:b/>
        </w:rPr>
        <w:t>kvinnor¹</w:t>
      </w:r>
      <w:r>
        <w:rPr>
          <w:b w:val="0"/>
        </w:rPr>
        <w:t xml:space="preserve">. I många fall hava dessutom helt säkert dessa genom Tobaksmonopolet pensionerade f. d. tobaksarbetare även erhållit den engångsersättning, som på sin tid tillerkändes alla dem, som genom Tobaksmonopolets införande berövades sin sysselsättning. Alla dessa synpunkter sammanlagt hava gjort, att jag för min del har ansett det i högsta grad önskligt, att dessa låga från staten utgående belopp kunde höjas, och jag har tillåtit mig att påyrka en höjning med 50 procent av dessa belopp, som då skulle komma att uppgå till 600 kronor för ensamstående </w:t>
      </w:r>
      <w:r>
        <w:rPr>
          <w:b/>
        </w:rPr>
        <w:t>kvinna¹</w:t>
      </w:r>
      <w:r>
        <w:rPr>
          <w:b w:val="0"/>
        </w:rPr>
        <w:t xml:space="preserve"> och till högst 1,050 kronor i de fall, där såväl man som </w:t>
      </w:r>
      <w:r>
        <w:rPr>
          <w:b/>
        </w:rPr>
        <w:t>hustru²</w:t>
      </w:r>
      <w:r>
        <w:rPr>
          <w:b w:val="0"/>
        </w:rPr>
        <w:t xml:space="preserve"> äro försatta uti detta brydsamma läge. Dessa belopp sammanfalla nära med dem, som Tobaksmonopolet självt ansett böra utgå.</w:t>
        <w:br/>
        <w:br/>
        <w:t>Nu har emellertid statsutskottet icke ansett sig böra tillstyrka min motion, och den motivering, som statsutskottet särskilt i år finner passande vid alla möjliga avslagstillfällen, är ju, att den finansiella situationen icke möjliggör, att man stegrar utgifterna, varjämte man i detta fall gör gällande, att dessa belopp, som ursprungligen fastställdes 1920, hava genom själva penningevärdets stegring blivit större än vad de ursprungligen voro. Jag vill ingalunda förneka, att detta är förhållandet, men jag vill starkt framhålla otillräckligheten av dessa låga understödsbelopp, och när det nu förhåller sig på det sättet, att statsverket självt genom vissa icke så väl avvägda ersättningsbestämmelser på sin tid måste anses stå i en viss skuld till resterna av tobaksarbetarekåren, så har jag ansett, att, ehuru ingen juridisk skyldighet föreligger för staten att hjälpa berörda grupper, man dock av billighetsskäl borde beakta de synpunkter, som jag tillåtit mig framföra i min motion.</w:t>
        <w:br/>
        <w:br/>
        <w:t>Jag ber därför, herr talman, att med framhållande av dessa synpunkter hemställa om, att kammaren ville bifalla den motion, som jag väckt vid denna punkt.</w:t>
      </w:r>
    </w:p>
    <w:p>
      <w:pPr>
        <w:pStyle w:val="Heading2"/>
      </w:pPr>
      <w:r>
        <w:t>2. Robert Jansson (Socialdemokraterna, man)</w:t>
      </w:r>
    </w:p>
    <w:p>
      <w:r>
        <w:rPr>
          <w:b w:val="0"/>
        </w:rPr>
        <w:t>Herr talman! Vid behandlingen av uaiertid åt denna fråga i 1 statsutskottet hava vi försökt att undersöka, huruvida nödlidande det fanns någon möjlighet till att i någon mån gå motionären till personer. mötes, men, som vi sagt i motiveringen till punkten, med hänsyn till (Forts.) det prekära läge, vari vi befinna oss, hava vi ansett det absolut uteslutet att för närvarande vara med om någon tillstyrkan i motionens syfte. Vidare skall jag be att få erinra, att dessa som det här är tal om hava vidare fått engångsersättning för det de upphört med sin verksamhet, och det prekära läge, vari de nu kommit, visar, att det varit synnerligen olämpligt att använda den principen, när man skulle lämna ersättning, att lämna en summa på en gång. Det hade följaktligen varit bättre, om det blivit en pension, som blivit något</w:t>
        <w:br/>
        <w:br/>
        <w:t>rikligare tilltagen. Detta endast i förbigående. För mitt vidkommande kan jag ej annat än, med fullt erkännande av de synpunkter, som herr Hagman framhållit, yrka bifall till ut-</w:t>
      </w:r>
    </w:p>
    <w:p>
      <w:pPr>
        <w:pStyle w:val="Heading2"/>
      </w:pPr>
      <w:r>
        <w:t>3. Olof Olsson (Bondeförbundet, man)</w:t>
      </w:r>
    </w:p>
    <w:p>
      <w:r>
        <w:rPr>
          <w:b w:val="0"/>
        </w:rPr>
        <w:t>Herr talman! Vid den nu föredragna punkten ha tre av utskottets ledamöter avgivit en blank reservation. Endast det förhållandet, att det skulle medfört ett uppskjutande av föredragningen av här förevarande ärende, om vi begagnat tiden för att närmare motivera det yrkande, vi gjort inom utskottet, har föranlett oss att avgiva en blank reservation. Jag skall nu be att få angiva, vad som skiljer oss och utskottets ma- Joritet åt.</w:t>
        <w:br/>
        <w:br/>
        <w:t>Om man genomläser det föreliggande förslaget till stat för Venngarns inrättning, så finner man, att i motsats till den för detta år gällande staten är införd en ny tjänstebefattning under titeln assistent. Det har nog varit litet strid förut om den här befattningen, och då vi gingo till prövning av detta ärende på avdelningen, kunde jag icke alls bliva övertygad om att denna befattning var alldeles oundgängligen nödvändig. Och under nuvarande förhållanden — ekonomiska och andra — har åtminstone jag tagit till rättesnöre för mig att icke gå med på anställandet av nya tjänster utan att det visar sig absolut tvunget, att sådana upprättas. Jag tror, att vi fått en rätt dyrköpt erfarenhet av, att Kungl. Maj:t och riksdagen varit synnerligen frikostiga på ifrågavarande område. Jag tror, att skall man överhuvud taget upprätthålla den princip, som jag håller för att vara viktig, nämligen att våra tjänstemän betalas bra för sitt arbete i det allmännas tjänst, så få vi tänka på att icke utan absolut ivång upprätta nya tjänster. Jag tycker det tvärtom vara en angelägenhet att se till, om vi icke på åtskilliga punkter skulle kunna minska tjänstemännens antal, men till detta ser man tyvärr icke några ansatser på något håll.</w:t>
        <w:br/>
        <w:br/>
        <w:t>Nu har på avdelningen och inom utskottet särskilt starkt framhållits, att det var mycket att göra på den här platsen, och framför allt framhölls, att där var ett stort jordbruk, varför chefen för anstalten icke kunde hinna med sina göromål. Men om vi se på staten, så finnas ostridigt för jordbrukets vidkommande både inspektor och rättare, och detta bör räcka till. Så har man gått ut ifrån, att man skulle söka att upprätthålla förbindelse med dem, som utgått från anstalten, och denne assistent skulle då vara mannen att söka åstadkomma densamma. Då får jag säga, att någon övervakning av dem, som här varit intagna, sedan de lämnat anstalten för att återgå till sin enskilda verksamhet, lär man icke kunna åstadkomma från en central punkt genom en assistent, som är bosatt på Venngarn. Överhuvud tror jag, att om dessa individer skola kunna upprättas, det fordras, dels att vården på själva anstalten ger dem en förändrad sinnesriktning, och dels att de själva hjälpa till en liten smula för att komma till insikt om, huru förfelat deras liv varit. Uppnår man icke detta genom anstaltsvården, så lär ett fortsatt övervakande av dem, sedan de lämnat anstalten, vara tämligen betydelselöst.</w:t>
        <w:br/>
        <w:br/>
        <w:t xml:space="preserve">Nu kan jag förstå, varifrån man fått impulsen alt föreslå, att en särskild assistent skulle anställas. Om vi se på den gällande staten, som finnes upptagen på sid. 18 i utskottets utlåtande, så finna vi, att den närmaste mannen efter direktören har titeln »assistent och räkenskapsförare». Då har det legat snubblande nära till hands att, när det finnes två titlar, klyva upp hela befattningen. Detta förstår jag, och det skulle vara egendomligt, om en statens anstalt icke gjorde på detta sätt, då detta brukas över hela linjen. Det har emellertid förefallit mig märkvärdigt, att om det skulle visat sig så absolut nödvändigt att inrätta denna assistentbefattning, man icke kommit på den tanken att anställa en </w:t>
      </w:r>
      <w:r>
        <w:rPr>
          <w:b/>
        </w:rPr>
        <w:t>kvinnlig¹</w:t>
      </w:r>
      <w:r>
        <w:rPr>
          <w:b w:val="0"/>
        </w:rPr>
        <w:t xml:space="preserve"> bokhållare för bokhållerigöromålen. Det skulle ha ställt sig billigare. Visserligen är det icke så utomordentligt stor lön, som föreslås för assistenten — det är 2,590 kronor per år — men så tillkommer dyrtidstillägg och en massa naturaförmåner, så det är icke så betydelselöst heller.</w:t>
        <w:br/>
        <w:br/>
        <w:t>Som sagt, jag har icke känt mig övertygad att det är oundgängligen nödvändigt att på denna plats anställa denna assistent, och därför har jag yrkat, att utskottets förslag måtte så förändras, att den stat, som gäller för innevarande år, också måtte få gälla från den 1 januari till den 30 juni 1923, och vidare att utskottets motivering måtte få läggas om, så att den erhåller följande avfattning:</w:t>
        <w:br/>
        <w:br/>
        <w:t>»Såsom av den ovan lämnade redogörelsen framgår, företer Kungl. Maj:ts för första halvåret 1923 framlagda förslag till avlöningsstat för Venngarnsanstalten i förhållande till 1922 års stat — frånsett att vederbörande belopp på grund av nu ifrågavarande budgetårs avsedda längd upptagits till hälften av motsvarande belopp 1 1922 års stat — den olikheten, att i densamma uppförts ytterligare en tjänsteman, nämligen en assistent åt direktören, i samband varmed benämningen å den nuvarande assistenten och räkenskapsföraren förändrats till räkenskapsförare.</w:t>
        <w:br/>
        <w:br/>
        <w:t>Att, på sätt Kungl. Maj:t sålunda föreslagit, riksdagen skulle anvisa medel för anställande av ytterligare en tjänsteman vid Venngarnsanstalten har utskottet ansett sig icke kunna tillstyrka. Enligt utskottets förmenande synas nämligen de krav, som må kunna uppställas för en fullt effektiv övervakning av å anstalten intagna patienter ävensom å anstaltens skötsel i övrigt, vara fullt tillgodosedda med den personal, varöver anstalten enligt gällande stat disponerar. Med hänsyn härtill och i betraktande av att under nu rådande statsfinansiella läge nya statstjänster icke böra utan starkt vägande skäl tillskapas, har utskottet sålunda funnit sig böra avstyrka Kungl. Maj:ts förslag om uppförande av en assistent å Venngarnsanstaltens avlöningsstat. Vid bifall härtill kan det av Kungl. Maj:t för avlöningar och vikariatsersättningar vid anstalten ifråga äskade anslaget nedsättas till 19,198 kronor.</w:t>
        <w:br/>
        <w:br/>
        <w:t>Vad Kungl. Maj:t i övrigt under förevarande punkt föreslagit riksdagen har icke givit utskottet anledning till erinran, och får utskottet alltså hemställa,</w:t>
        <w:br/>
        <w:br/>
        <w:t>Då jag vet, att kammaren icke gärna tar ett förslag, som utan vidare under diskussionen framkastats av en ledamot, så ber jag få upplysa, att hela motiveringen och klämmen är uppsatt av sekreteraren på utskottets tredje avdelning eller samme man, som skrivit statsutskottets utlåtande på den ifrågavarande punkten, varför de, som i övrigt dela min uppfattning i förevarande fråga, utan tvekan kunna gå med på detta utlåtande, sådant det upplästs.</w:t>
        <w:br/>
        <w:br/>
        <w:t>Herr talman! Jag yrkar avslag på den delen av Kungl. Maj:ts proposition, som gäller anställandet av en assistent vid Venngarns anstalt, och bifall till det förslag till utskottsutlåtande, som jag härmed haft äran uppläsa.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