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1561</w:t>
      </w:r>
    </w:p>
    <w:p>
      <w:r>
        <w:rPr>
          <w:b/>
        </w:rPr>
        <w:t xml:space="preserve">Datum: </w:t>
      </w:r>
      <w:r>
        <w:t>1922-03-31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Henning Leo (Socialdemokraterna, man)</w:t>
      </w:r>
    </w:p>
    <w:p>
      <w:r>
        <w:rPr>
          <w:b w:val="0"/>
        </w:rPr>
        <w:t>Herr talman! Även vid denna paragraf hava socialdemokraterna fogat en reservation, och vi hava gjort det i den bestämda känslan av att utskottet här har gått vida över vad man rimligen kan fordra och även har fordrat från sjöfartsnäringens sida. I kommitténs ursprungliga förslag var upptaget en bestämmelse, att</w:t>
        <w:br/>
        <w:br/>
        <w:t xml:space="preserve">till avliden svensk sjömans </w:t>
      </w:r>
      <w:r>
        <w:rPr>
          <w:b/>
        </w:rPr>
        <w:t>hustru²</w:t>
      </w:r>
      <w:r>
        <w:rPr>
          <w:b w:val="0"/>
        </w:rPr>
        <w:t xml:space="preserve"> eller minderåriga barn skulle re- Ang. sjömansdarna vara pliktiga att utbetala en månads hyra från den dag sjölag nn m. mannen avlidit. Gentemot denna bestimmelse anfördes från segel- (Forts. fartygsföreningen, att den visserligen ansågs vara 1 viss mån betungande för sjöfarten, men att man från det hållet ändock icke ville motsätta sig bestämmelsen i fråga. Ifrån redareföreningens håll uttalade man också sina bekymmer över, att denna bestämmelse skulle komma att trycka rederinäringen för hårt, men man gjorde intet bestämt yrkande. Med hänsyn emellertid till dessa betänkligheter, som rests från olika redarehåll, jämkades paragrafen under den fortsatta behandlingen dithän, att endast den sjöman, som de senaste sex månaderna före dödsfallet hade varit anställd i redarens tjänst skulle vara berättigad till denna ersättning. Även med denna jämkning har emellertid utskottets majoritet icke kunna godtaga paragrafen. Jag måste säga, att utskottet här har visat sig vara mera mån om rederinäringen än rederinäringens män själva hava varit, och jag anser det icke vara rimligt av utskottet att i en fråga som denna, av så rent humanitär innebörd, gå emot Kungl. Maj:ts förslag och beröva </w:t>
      </w:r>
      <w:r>
        <w:rPr>
          <w:b/>
        </w:rPr>
        <w:t>hustru²</w:t>
      </w:r>
      <w:r>
        <w:rPr>
          <w:b w:val="0"/>
        </w:rPr>
        <w:t xml:space="preserve"> och minderåriga barn efter avliden svensk sjöman den lilla hjälp, som skulle ligga däri, att redare vore skyldig att utgiva en månads tilläggshyra.</w:t>
        <w:br/>
        <w:br/>
        <w:t>Jag ber, herr talman, att få yrka bifall till reservationen.</w:t>
      </w:r>
    </w:p>
    <w:p>
      <w:pPr>
        <w:pStyle w:val="Heading2"/>
      </w:pPr>
      <w:r>
        <w:t>2. Jakob Pettersson (Liberala riksdagspartiet, man)</w:t>
      </w:r>
    </w:p>
    <w:p>
      <w:r>
        <w:rPr>
          <w:b w:val="0"/>
        </w:rPr>
        <w:t>Herr talman! Den siste ärade talaren anförde, att utskottet i denna punkt varit mera mån om rederinäringens intressen än rederinäringens egna representanter, och han åberopade till stöd för den meningen ett yttrande av segelfartygsföreningen. Men nu är det så, att det finnes'andra redare än segelfartygsredarna, och jag vill gentemot herr Leos påstående meddela vad redarnas specielle representant i den kommitté, som utarbetat detta förslag, anfört i sin reservation. Han säger:</w:t>
        <w:br/>
        <w:br/>
        <w:t>»Jag anser, att andra stycket i denna paragraf bör utgå ur förslaget. Det finnes enligt min mening ej ringaste fog för att i sjömanslagen införa för arbetsgivaren en förpliktelse, som saknar motsvarighet inom andra verksamhetsområden och som ej heller betingas :av sjöfartsnäringens säregna beskaffenhet.»</w:t>
        <w:br/>
        <w:br/>
        <w:t xml:space="preserve">Det är att märka, att denne reservant riktar sig just emot det förslag, om vilket här är fråga, d. v. s. att pensionen skulle utgå till </w:t>
      </w:r>
      <w:r>
        <w:rPr>
          <w:b/>
        </w:rPr>
        <w:t>änka²</w:t>
      </w:r>
      <w:r>
        <w:rPr>
          <w:b w:val="0"/>
        </w:rPr>
        <w:t xml:space="preserve"> och barn efter sjöman, som varit sex månader i redarens tjänst.</w:t>
        <w:br/>
        <w:br/>
        <w:t>Jag vill tillägga, att denna reservation är den enda som före- "kommer i kommitténs betänkande. Det är den enda punkt, på vilken -.enigheten inom kommittén brutits, och då härtill kommer, som herrarna hörde förut, att motsvarighet till denna bestämmelse saknas 1 de danska, norska och finska förslagen, och att det är utsikt till att redan i år kunna få ett förslag rörande ett tillfredsställande ordnande av denna viktiga angelägenhet på försäkringens väg, skulle det väl vara bra eget, om kammaren nu anslöte sig till reservanternas mening.</w:t>
        <w:br/>
        <w:br/>
        <w:t>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