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1570</w:t>
      </w:r>
    </w:p>
    <w:p>
      <w:r>
        <w:rPr>
          <w:b/>
        </w:rPr>
        <w:t xml:space="preserve">Datum: </w:t>
      </w:r>
      <w:r>
        <w:t>1922-05-05</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Helge Bäcklund (Socialdemokraterna, man)</w:t>
      </w:r>
    </w:p>
    <w:p>
      <w:r>
        <w:rPr>
          <w:b w:val="0"/>
        </w:rPr>
        <w:t>Herr talman! Utgången är naturligtvis given i denna fråga, att döma av den votering, som vi hade för en stund' sedan. Trots detta ber jag, herr talman, att få yrka bifall till utskottets framställning. Jag vill påpeka för kammarens ledamöter, att utskottet i detta fall varit absolut enigt: det finnes ingen reser-: vant. Jag har ju ingenting emot att utskottet blir behandlat på</w:t>
        <w:br/>
        <w:br/>
        <w:t xml:space="preserve">detta sätt, för all del, det spelar mycket liten roll, men det kan ju Ang. pension vara litet farligt i längden; ty då kommer naturligtvis utskottsbehand- - [onkoruka lingen att bli därefter. Man tillstyrker vad som helst, man vågar "Rv Bögges icke gå på avslag, ty kamrarna komma i alla fall att bifalla, hur </w:t>
      </w:r>
      <w:r>
        <w:rPr>
          <w:b/>
        </w:rPr>
        <w:t>änka²</w:t>
      </w:r>
      <w:r>
        <w:rPr>
          <w:b w:val="0"/>
        </w:rPr>
        <w:t xml:space="preserve"> och barn. än frågan för övrigt ligger. (Forts.) Herr Nilsson i Tånga sökte, om jag fattade honom rätt, göra gällande, att man tog hänsyn till vilken yrkesställning och dylikt en person hade. Det är ingalunda fallet, utan det är reella skäl, behållningen i boet och det förhållandet, att det icke finnes ömmande omständigheter, som ställt utskottet på denna linje. Sedan har här talats om den gagnande verksamheten. Icke har utskottet velat bestrida, och icke heller vill jag göra det, att vederbörande i dessa bägge fall utövat en stor och gagnande och nyttig verksamhet för vårt land, men den gagneliga verksamheten får naturligtvis icke i regel sträcka sig till pensionen, utan det är väl slut i och med att man beviljar lönen allt eftersom verksamheten är lagd. Om herrarna studerat denna sak, veta herrarna, att beträffande pensioner till änkor och barn är det i regel så, att det är befattningshavarna själva, som betala </w:t>
      </w:r>
      <w:r>
        <w:rPr>
          <w:b/>
        </w:rPr>
        <w:t>änkepension²</w:t>
      </w:r>
      <w:r>
        <w:rPr>
          <w:b w:val="0"/>
        </w:rPr>
        <w:t xml:space="preserve"> och pupillförsäkring; staten gör det icke i någon nämnvärd omfattning, fastän man i ett och annat ömmande fall komrer till riksdagen och begär pension. Vi ha icke ansett, att dessa bägge fall varit så ömmande, men för all del, är andra kammarens mening i lihet med första kammarens, att det är ömmande fall, får naturligtvis utskottet finna sig i att det även blir ändring på denna punkt. Jag ber i alla fall att få yrka bifall till utskottets hemställan.</w:t>
      </w:r>
    </w:p>
    <w:p>
      <w:pPr>
        <w:pStyle w:val="Heading2"/>
      </w:pPr>
      <w:r>
        <w:t>2. Sven Linders (Socialdemokraterna, man)</w:t>
      </w:r>
    </w:p>
    <w:p>
      <w:r>
        <w:rPr>
          <w:b w:val="0"/>
        </w:rPr>
        <w:t xml:space="preserve">Jag tror, att det är alldeles riktigt, såsom den senaste talaren, herr Bäcklund, uttalade, att utgången torde vara given. Den tron har jag om andra kammaren, att den kommer att följa första kammarens beslut i detta fall, men det är ytterligare ett skäl, som föranleder, att jag tämligen säkert tror på att kammaren bifaller Kungl. Maj:ts proposition. Jag behöver då blott erinra om den votering, som ägde rum nyss, och en votering, som ägde rum för några dagar sedan, angående pressagenten Vallentins pension, liksom jag också kan erinra om ett annat liknande ärende, som omnämnts uti kungl. propositionen, nämligen att fiskeriagenten Kriäger, som hade en liknande anställning, fick på sin tid pension och hans </w:t>
      </w:r>
      <w:r>
        <w:rPr>
          <w:b/>
        </w:rPr>
        <w:t>änka²</w:t>
      </w:r>
      <w:r>
        <w:rPr>
          <w:b w:val="0"/>
        </w:rPr>
        <w:t xml:space="preserve"> efter honom. Det kan nog upprepas åtskilliga fall, som äro analoga med detta.</w:t>
        <w:br/>
        <w:br/>
        <w:t>Herr Liäbeck har påvisat ett moment i denna fråga, som ju också har sin betydelse, nämligen att riksdagen tidigare varit i tillfälle att yttra sig beträffande anställningen av denna lantbrukskonsulent. Riksdagen hade då ingen som helst anmärkning att göra mot betydelsen av hans verksamhet men fann, att detta sätt att engagera en man för just denna verksamhet var det bästa. Nu har han dock av staten haft i uppdrag att i aderton år bevaka det svenska jordbrukets intressen i ett av de få länder, där Sveriges jordbruk har möjlighet att avsätta kvalitetsprodukter. När det arbete, som han utfört, tillika</w:t>
        <w:br/>
        <w:br/>
        <w:t>” draga sig sin plikt att i någon mån sörja för hans efterlevande. Jag vill slutligen erinra därom, att därest icke riksdagen skulle</w:t>
        <w:br/>
        <w:br/>
      </w:r>
      <w:r>
        <w:rPr>
          <w:b/>
        </w:rPr>
        <w:t>änka²</w:t>
      </w:r>
      <w:r>
        <w:rPr>
          <w:b w:val="0"/>
        </w:rPr>
        <w:t xml:space="preserve"> och barn. behjärta denna sak följer givetvis som en konsekvens av detta, att man</w:t>
        <w:br/>
        <w:br/>
        <w:t>får svårt nog att skaffa de lämpligaste krafterna för det arbete i landets tjänst, som där utförts av herr Bagge. Utan att uppehålla mig närmare vid detaljerna, får jag därför uttala den varma förhoppningen, att andra kammaren liksom den första kommer att bifalla Kungl. Maj:ts förslag.</w:t>
      </w:r>
    </w:p>
    <w:p>
      <w:pPr>
        <w:pStyle w:val="Heading2"/>
      </w:pPr>
      <w:r>
        <w:t>3. Erik Åkerlund (–, man)</w:t>
      </w:r>
    </w:p>
    <w:p>
      <w:r>
        <w:rPr>
          <w:b w:val="0"/>
        </w:rPr>
        <w:t xml:space="preserve">Herr talman! Jag hoppas, att herr Bäcklund måtte få rätt i denna fråga, och att kammaren således måtte bifalla Kungl. Maj:ts proposition. Jag tror icke, att utskottet skall anse sig demoraliserat, ifall så sker. Jag har själv varit med om att tala omkull ett enhälligt bankoutskott ett par tre gånger förut, men Jag tycker, att utskottet ändå sköter sig mycket självständigt och bra, och så har det gjort här också. Emellertid vill jag blott såsom så många andra framhålla, att den person, som redbart och på ett ofantligt nyttigt sätt betjänat staten mot den ringa ersättning, som 7,500 kronor och 9,000 kronor sista åren i England är, har sannerligen icke haft tillfälle att lägga av och samla några rikedomar i sin tjänst. Såsom herr Libeck nyss påpekade, kan det väl icke vara någon anledning att förvägra hans </w:t>
      </w:r>
      <w:r>
        <w:rPr>
          <w:b/>
        </w:rPr>
        <w:t>änka²</w:t>
      </w:r>
      <w:r>
        <w:rPr>
          <w:b w:val="0"/>
        </w:rPr>
        <w:t xml:space="preserve"> pension, därför att han icke var i statens tjänst. Faktiskt har han dock varit i statstjänst, även om han icke varit det officiellt, och därför är det sannerligen icke mer än rätt och billigt att tillgodose hans </w:t>
      </w:r>
      <w:r>
        <w:rPr>
          <w:b/>
        </w:rPr>
        <w:t>änka²</w:t>
      </w:r>
      <w:r>
        <w:rPr>
          <w:b w:val="0"/>
        </w:rPr>
        <w:t>, som just icke har något att leva på.</w:t>
        <w:br/>
        <w:br/>
        <w:t>Margareta och Gustav Elis ett årligt understöd från och med tiden för mannens dödsfall att utgå av trafikmedel.</w:t>
      </w:r>
    </w:p>
    <w:p>
      <w:pPr>
        <w:pStyle w:val="Heading2"/>
      </w:pPr>
      <w:r>
        <w:t>4. Anders Johan Bärg (Socialdemokraterna, man)</w:t>
      </w:r>
    </w:p>
    <w:p>
      <w:r>
        <w:rPr>
          <w:b w:val="0"/>
        </w:rPr>
        <w:t xml:space="preserve">Herr talman! Jag gjorde en antydan, när jag förra gången hade ordet, att jag skulle komma att göra ett yrkande på denna punkt. Jag skulle icke ha vågat göra det, om icke andra kammaren fattat de beslut, som den här förut fattat i frågor, som det rått någon tvist om, men då nu bifall till dessa Kungl. Maj:ts förslag lämnats av kammaren och första kammaren därtill biträtt denna motion, tillåter jag mig, herr talman, att föreslå utan vidare motivering än den, som finns i motionen och till vilken jag här hänvisar, att andra kammaren i likhet med första kammaren må besluta, att riksdagen måtte tillerkänna förre överbanmästaren J. A. Andreassons </w:t>
      </w:r>
      <w:r>
        <w:rPr>
          <w:b/>
        </w:rPr>
        <w:t>änka²</w:t>
      </w:r>
      <w:r>
        <w:rPr>
          <w:b w:val="0"/>
        </w:rPr>
        <w:t xml:space="preserve"> Beda Andreasson, född Kumlin, ett årligt understöd av 400 kronor, så länge </w:t>
      </w:r>
      <w:r>
        <w:rPr>
          <w:b/>
        </w:rPr>
        <w:t>hon²</w:t>
      </w:r>
      <w:r>
        <w:rPr>
          <w:b w:val="0"/>
        </w:rPr>
        <w:t xml:space="preserve"> lever ogift, att utgå av trafikmedel.</w:t>
        <w:br/>
        <w:br/>
        <w:t>Jag är övertygad, herr talman, att jag i detta mitt yrkande kommer att få understöd av såväl herr Bäcklund som herrar Lovén och Borggren, därför att samtliga de herrarnas anföranden i föregående frågor ha gått ut på, att om ett verkligt behov föreligger, skall man icke tveka att bifalla ett sådant förslag. Här föreligger ett</w:t>
        <w:br/>
        <w:br/>
        <w:t>. verkligt och stort behov. Jag känner personligen familjen, och jag vet, att det råder mer än ett behov, det råder ett verkligt nödläge.</w:t>
        <w:br/>
        <w:br/>
        <w:t xml:space="preserve">Jag är litet otillfredsställd med att motionären, som i en hastig vändning gjorde detta yrkande i första kammaren, då hann fann, att kammaren var vänligt stämd emot de framställningar, som voro gjorda, icke jämväl yrkade på understöd åt barnen. Om andra kammaren nu bifaller mitt yrkande, komma därför denna fattiga </w:t>
      </w:r>
      <w:r>
        <w:rPr>
          <w:b/>
        </w:rPr>
        <w:t>änkas²</w:t>
      </w:r>
      <w:r>
        <w:rPr>
          <w:b w:val="0"/>
        </w:rPr>
        <w:t xml:space="preserve"> barn i ett sämre läge än de övriga änkors barn, för vilka det icke råder så förtvivlade förhållanden som i detta fall. För att emellertid icke slita enigheten emellan kamrarna, skall jag, herr talman, nöja mig med det yrkande, som jag nyss framställt, och jag hemställer alltså om bifall till detsamma.</w:t>
      </w:r>
    </w:p>
    <w:p>
      <w:pPr>
        <w:pStyle w:val="Heading2"/>
      </w:pPr>
      <w:r>
        <w:t>5. Anders Hansson (Socialdemokraterna, man)</w:t>
      </w:r>
    </w:p>
    <w:p>
      <w:r>
        <w:rPr>
          <w:b w:val="0"/>
        </w:rPr>
        <w:t>Herr talman, mina damer och herrar! Efter de beslut, som andra kammaren nu i ett par på varandra följande punkter har fattat, förmodar jag, att ett vidlyftigt ordande till förmån för min motion kan anses tämligen överflödigt. Jag måste emellertid medge, att jag, då jag först genomläste utskottets betänkande, beslutade mig för att resignera, detta så mycket mera, som utskottet anfört principiella skäl för sitt avslagsyrkande. Utskottet har nämligen anfört, att det förut förekommit tre liknande ärenden, där man icke ansett sig kunna gå med på ett yrkande i enlighet med vad jag här föreslagit. Nu äro emellertid utskottets principer brutna och det till och med utan votering. Jag anser, att riksdagen gör rätt i att i detta fall gå med på min motion.</w:t>
        <w:br/>
        <w:br/>
        <w:t xml:space="preserve">Herr Rydén har i dag yttrat, att pensionsfrågor äro lika skiftande som livet självt. Jag skall icke bliva långrandig, men jag skulle dock vilja ge herrarna en liten bild ur livet. Det gäller här pension till en </w:t>
      </w:r>
      <w:r>
        <w:rPr>
          <w:b/>
        </w:rPr>
        <w:t>änka²</w:t>
      </w:r>
      <w:r>
        <w:rPr>
          <w:b w:val="0"/>
        </w:rPr>
        <w:t xml:space="preserve"> efter en slussvaktare hemma i Trollhättan. </w:t>
      </w:r>
      <w:r>
        <w:rPr>
          <w:b/>
        </w:rPr>
        <w:t>Hon²</w:t>
      </w:r>
      <w:r>
        <w:rPr>
          <w:b w:val="0"/>
        </w:rPr>
        <w:t xml:space="preserve"> har tre minderåriga barn. Familjen äger ingenting utan är alldeles medellös, varom intyg åtföljer motionen. </w:t>
      </w:r>
      <w:r>
        <w:rPr>
          <w:b/>
        </w:rPr>
        <w:t>Hon²</w:t>
      </w:r>
      <w:r>
        <w:rPr>
          <w:b w:val="0"/>
        </w:rPr>
        <w:t xml:space="preserve"> har begärt</w:t>
        <w:br/>
        <w:br/>
        <w:t xml:space="preserve">pension. Vattenfallsstyrelsen tillstyrker, märk det, pension på 240 kronor åt </w:t>
      </w:r>
      <w:r>
        <w:rPr>
          <w:b/>
        </w:rPr>
        <w:t>änkan²</w:t>
      </w:r>
      <w:r>
        <w:rPr>
          <w:b w:val="0"/>
        </w:rPr>
        <w:t xml:space="preserve">, så länge </w:t>
      </w:r>
      <w:r>
        <w:rPr>
          <w:b/>
        </w:rPr>
        <w:t>hon²</w:t>
      </w:r>
      <w:r>
        <w:rPr>
          <w:b w:val="0"/>
        </w:rPr>
        <w:t xml:space="preserve"> förblir i sitt </w:t>
      </w:r>
      <w:r>
        <w:rPr>
          <w:b/>
        </w:rPr>
        <w:t>änkestånd²</w:t>
      </w:r>
      <w:r>
        <w:rPr>
          <w:b w:val="0"/>
        </w:rPr>
        <w:t xml:space="preserve">, samt 100 kronor för varje barn. Statskontoret, vars yttrande blivit följt av Kungl. Maj:t. säger sig icke vilja vara med om de 240 kronorna utan tillstyrker endast 100 kronor för varje barn. Då propositionen alltså icke upptog förslag om pension åt </w:t>
      </w:r>
      <w:r>
        <w:rPr>
          <w:b/>
        </w:rPr>
        <w:t>änkan²</w:t>
      </w:r>
      <w:r>
        <w:rPr>
          <w:b w:val="0"/>
        </w:rPr>
        <w:t xml:space="preserve"> med 240 kronor, har jag motionerat därom. Såsom skäl för att icke taga med denna pension har man förebragt, att </w:t>
      </w:r>
      <w:r>
        <w:rPr>
          <w:b/>
        </w:rPr>
        <w:t>änkan²</w:t>
      </w:r>
      <w:r>
        <w:rPr>
          <w:b w:val="0"/>
        </w:rPr>
        <w:t xml:space="preserve"> i fråga ännu var ung, endast ett trettiotal år, och att </w:t>
      </w:r>
      <w:r>
        <w:rPr>
          <w:b/>
        </w:rPr>
        <w:t>hon²</w:t>
      </w:r>
      <w:r>
        <w:rPr>
          <w:b w:val="0"/>
        </w:rPr>
        <w:t xml:space="preserve"> alltså kunde erhålla arbete. </w:t>
      </w:r>
      <w:r>
        <w:rPr>
          <w:b/>
        </w:rPr>
        <w:t>Hennes²</w:t>
      </w:r>
      <w:r>
        <w:rPr>
          <w:b w:val="0"/>
        </w:rPr>
        <w:t xml:space="preserve"> barn äro emellertid endast några år, sex, fem och tre år, och det är därför nästan omöjligt för </w:t>
      </w:r>
      <w:r>
        <w:rPr>
          <w:b/>
        </w:rPr>
        <w:t>henne²</w:t>
      </w:r>
      <w:r>
        <w:rPr>
          <w:b w:val="0"/>
        </w:rPr>
        <w:t xml:space="preserve"> att bredvid hemmets skötsel medhinna annat arbete. Om något år skall det äldsta barnet börja skolan, och då blir det ännu värre.</w:t>
        <w:br/>
        <w:br/>
        <w:t xml:space="preserve">I ett av de avstyrkta fallen, som man anför som principiellt skäl emot min motion, nämligen från Karlskrona, har den </w:t>
      </w:r>
      <w:r>
        <w:rPr>
          <w:b/>
        </w:rPr>
        <w:t>kvinna¹</w:t>
      </w:r>
      <w:r>
        <w:rPr>
          <w:b w:val="0"/>
        </w:rPr>
        <w:t xml:space="preserve">, varom det där är fråga, en inkomst av 3 kronor 90 öre om dagen därigenom, att </w:t>
      </w:r>
      <w:r>
        <w:rPr>
          <w:b/>
        </w:rPr>
        <w:t>hon²</w:t>
      </w:r>
      <w:r>
        <w:rPr>
          <w:b w:val="0"/>
        </w:rPr>
        <w:t xml:space="preserve"> har någon anställning vid varvet, men </w:t>
      </w:r>
      <w:r>
        <w:rPr>
          <w:b/>
        </w:rPr>
        <w:t>änkan²</w:t>
      </w:r>
      <w:r>
        <w:rPr>
          <w:b w:val="0"/>
        </w:rPr>
        <w:t xml:space="preserve"> Hallberg har ingenting alls. </w:t>
      </w:r>
      <w:r>
        <w:rPr>
          <w:b/>
        </w:rPr>
        <w:t>Hon²</w:t>
      </w:r>
      <w:r>
        <w:rPr>
          <w:b w:val="0"/>
        </w:rPr>
        <w:t xml:space="preserve"> har endast tillfälligt arbete exempelvis genom att gå som hjälp den tid, </w:t>
      </w:r>
      <w:r>
        <w:rPr>
          <w:b/>
        </w:rPr>
        <w:t>hon²</w:t>
      </w:r>
      <w:r>
        <w:rPr>
          <w:b w:val="0"/>
        </w:rPr>
        <w:t xml:space="preserve"> icke sköter hemmet.</w:t>
        <w:br/>
        <w:br/>
        <w:t xml:space="preserve">Det är kanske onödigt att längre upptaga kammarens tid, men jag skulle för min del önska, att kammaren i likhet med vad den förut gjort låter både förståndet och hjärtat tala och låter sin nåd vederfaras denna </w:t>
      </w:r>
      <w:r>
        <w:rPr>
          <w:b/>
        </w:rPr>
        <w:t>änka²</w:t>
      </w:r>
      <w:r>
        <w:rPr>
          <w:b w:val="0"/>
        </w:rPr>
        <w:t xml:space="preserve"> genom att ge </w:t>
      </w:r>
      <w:r>
        <w:rPr>
          <w:b/>
        </w:rPr>
        <w:t>henne²</w:t>
      </w:r>
      <w:r>
        <w:rPr>
          <w:b w:val="0"/>
        </w:rPr>
        <w:t xml:space="preserve"> den pension, som här är föreslagen.</w:t>
        <w:br/>
        <w:br/>
        <w:t>Jag ber därför, herr talman, att få yrka bifall till min i detta ärende väckta motion.</w:t>
      </w:r>
    </w:p>
    <w:p>
      <w:pPr>
        <w:pStyle w:val="Heading2"/>
      </w:pPr>
      <w:r>
        <w:t>6. Helge Bäcklund (Socialdemokraterna, man)</w:t>
      </w:r>
    </w:p>
    <w:p>
      <w:r>
        <w:rPr>
          <w:b w:val="0"/>
        </w:rPr>
        <w:t xml:space="preserve">Herr talman! Med anledning av den utgång, som vissa pensionsfrågor här fått, tycker jag för min del, att andra kammaren verkligen bör bifalla den i ämnet väckta motionen i enlighet med var herr Hansson i Trollhättan påyrkade. Det är nämligen icke någon rim och reson i att bevilja anslag, såsom herrarna förut gjort, och att nu icke bevilja detta anslag. Visserligen gäller det här endast en fattig </w:t>
      </w:r>
      <w:r>
        <w:rPr>
          <w:b/>
        </w:rPr>
        <w:t>änka²</w:t>
      </w:r>
      <w:r>
        <w:rPr>
          <w:b w:val="0"/>
        </w:rPr>
        <w:t xml:space="preserve"> — och endast 240 kronor, men jag tror, att de reella skälen ligga till förmån för att pensionen beviljas. så jag hoppas, att kammaren skall följa den redan inslagna vägen och bevilja </w:t>
      </w:r>
      <w:r>
        <w:rPr>
          <w:b/>
        </w:rPr>
        <w:t>änkepension²</w:t>
      </w:r>
      <w:r>
        <w:rPr>
          <w:b w:val="0"/>
        </w:rPr>
        <w:t xml:space="preserve"> även i detta fall, ty det tycker jag är fullkomligt riktigt.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