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1600</w:t>
      </w:r>
    </w:p>
    <w:p>
      <w:r>
        <w:rPr>
          <w:b/>
        </w:rPr>
        <w:t xml:space="preserve">Datum: </w:t>
      </w:r>
      <w:r>
        <w:t>1923-05-02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Magnusson (Lantmanna- och borgarepartiet inom andrakammaren, man)</w:t>
      </w:r>
    </w:p>
    <w:p>
      <w:r>
        <w:rPr>
          <w:b w:val="0"/>
        </w:rPr>
        <w:t xml:space="preserve">Blott ett par ord! Jag skulle vilja adressera mig till </w:t>
      </w:r>
      <w:r>
        <w:rPr>
          <w:b/>
        </w:rPr>
        <w:t>fru²</w:t>
      </w:r>
      <w:r>
        <w:rPr>
          <w:b w:val="0"/>
        </w:rPr>
        <w:t xml:space="preserve"> Östlunds i mångt och mycket sympatiska anförande. </w:t>
      </w:r>
      <w:r>
        <w:rPr>
          <w:b/>
        </w:rPr>
        <w:t>Hon²</w:t>
      </w:r>
      <w:r>
        <w:rPr>
          <w:b w:val="0"/>
        </w:rPr>
        <w:t xml:space="preserve"> talade om fruktens betydelse för hushållningen i arbetarhemmen. Jag vill hoppas, att </w:t>
      </w:r>
      <w:r>
        <w:rPr>
          <w:b/>
        </w:rPr>
        <w:t>fru²</w:t>
      </w:r>
      <w:r>
        <w:rPr>
          <w:b w:val="0"/>
        </w:rPr>
        <w:t xml:space="preserve"> Östlund fortsätter med den upplysningsverksamheten, jag antar, att </w:t>
      </w:r>
      <w:r>
        <w:rPr>
          <w:b/>
        </w:rPr>
        <w:t>hon²</w:t>
      </w:r>
      <w:r>
        <w:rPr>
          <w:b w:val="0"/>
        </w:rPr>
        <w:t xml:space="preserve"> har tillfälle att träffa många husmödrar både i Stockholm och på andra håll, och att </w:t>
      </w:r>
      <w:r>
        <w:rPr>
          <w:b/>
        </w:rPr>
        <w:t>hon²</w:t>
      </w:r>
      <w:r>
        <w:rPr>
          <w:b w:val="0"/>
        </w:rPr>
        <w:t xml:space="preserve"> kan hava tillfälle att säga dem, att den svenska frukten mycket ofta har sålts så billigt, att det skulle vara stor uträkning att köpa denna, icke i fruktbodarna i Stockholm, utan på torgen i Stockholm, och torka och konservera denna i stället för att välja den bekvämare men dyrare utvägen att köpa amerikanska ringäpplen.</w:t>
        <w:br/>
        <w:br/>
        <w:t>Jag skall icke fresta herrarnas på Norrlandsbänken tålamod länge, men då en talare på Norrlandsbänken förundrade sig över att man där uppe i Norrland icke fordrade att få något tullskydd., men att sådant fordrades i det södra Sverige, där solen skiner och där det växer mera, så vill jag erinra honom om ett gammalt ordspråk, som säger, att den känner bäst var skon klämmer, som har skon på, och att den icke kan känna något skoskav, som ingen sko har. Det är icke rimligt, att man skall känna något behov av en frukttull i Norrland. Jag tycker därför. att herr Lövgrens argument i det avseendet är tämligen överflödigt. Men när man i södra Sverige ser, att det är alldeles omöjligt att sälja något av dessa Guds goda gåvor, utan frukten får ruttna ned, då är det icke så underligt, att man framställer tullkrav.</w:t>
        <w:br/>
        <w:br/>
        <w:t>Jag vill tillägga, att när herr Lövgren säger, att tullen hjälper icke under de år, då tillgången på svensk frukt är riklig, så kan jag icke förstå honom, ty under de år, då det är riklig tillgång på svensk frukt vi kunna ju ta det närmast liggande året eller 1922. då det var en utomordentligt rik tillgång — så var det i alla fall en mycket stor import av frukt. Och det vore väl märkvärdigt, därest det sattes en tull av 30 öre i stället för 10 öre, att detta icke skulle vara ägnat att i någon mån inverka på prisbildningen rörande den svenska frukten. Ty när vi ha en riklig tillgång på inhemsk frukt och det i alla fall uppstår en riklig okynnesimport, så är det</w:t>
        <w:br/>
        <w:br/>
        <w:t>tydligt, att bägge dessa faktorer bidraga till att trycka ned prizer- - Ang. na. Det kan man icke rimligen komma ifrån. Och om då den utforn ländska hålles tillbaka, bör väl priset på den svenska något förfärska päron bättras. och äpplen. Sedan säger herr Lövgren, att när det är rikligt med frukt här = (Forts) 1 landet, så importeras icke mindervärdig frukt. Jag vill erinra om, vad jag förut sagt, att 1921 var ett mycket gott fruktår, men att det då var en oerhört stor import av sämre frukt från Östersjöprovinserna, som totalt förstörde priserna på den inhemska fruktmarknaden. Jag tror därför, att man bör reducera vad herr Lövgren här framhållit till dess rätta värde. Man får väl ändå räkna med, att en tullförhöjning på den utländska frukten skulle i någon mån vara ägnad att under de rikligaste fruktåren göra det möjligt att sälja svensk frukt till rimligt pris.</w:t>
      </w:r>
    </w:p>
    <w:p>
      <w:pPr>
        <w:pStyle w:val="Heading2"/>
      </w:pPr>
      <w:r>
        <w:t>2. Erik Åkerlund (–, man)</w:t>
      </w:r>
    </w:p>
    <w:p>
      <w:r>
        <w:rPr>
          <w:b w:val="0"/>
        </w:rPr>
        <w:t xml:space="preserve">Herr talman! Det här är, så vitt jag kan förstå, en ganska egendomlig situation. Jag har hört frihandlare säga, att denna tull icke skulle ha någon större betydelse, ty den skulle icke hjälpa mycket. När folk begär måttligt, så tycker jag, att man bör gå dem till mötes. Hjälper icke detta, så blir det riksdagens sak att tillse, att det blir bättre förhållanden. Vad frukttullen beträffar, så får j Jag säga, att det nu för tiden ju är så modernt att tillse, att allt skall göras från arbetaresynpunkt. </w:t>
      </w:r>
      <w:r>
        <w:rPr>
          <w:b/>
        </w:rPr>
        <w:t>Fru²</w:t>
      </w:r>
      <w:r>
        <w:rPr>
          <w:b w:val="0"/>
        </w:rPr>
        <w:t xml:space="preserve"> Östlund var också inne på den vägen, och jag medger, att arbetarna i de större städerna, som ofta äro nödsakade att köpa sig frukt, böra ha den så billigt som möjligt. Men se vi på de små städerna, på städer med 50,000 eller 60,000 invånare och på de arbetaresamhällen på landsbygden, dit arbetarna lyckligtvis flyttat ut och där de ha små trädgårdar, som ge dem frukt att sälja till de större samhällena, så böra vi fästa avseende även vid dessa, som också äro medborgare i detta land och som behöva leva. Dessa barn, som </w:t>
      </w:r>
      <w:r>
        <w:rPr>
          <w:b/>
        </w:rPr>
        <w:t>fru²</w:t>
      </w:r>
      <w:r>
        <w:rPr>
          <w:b w:val="0"/>
        </w:rPr>
        <w:t xml:space="preserve"> Östlund ömmar för — vilket Jag också gör — kunna, tror jag, lika bra äta svensk frukt som utländsk.</w:t>
        <w:br/>
        <w:br/>
        <w:t>Vad beträffar importen, så tror jag, att den huvudsakligen ägt rum under sådana år som dem vi nu haft i två år efter varandra. Ty då importeras sådan frukt och ätes av en del snobbar, som icke kunna äta annan frukt än den utländska. Det kan man få höra, när man kommer in i en fruktbutik. När man erbjuder dem svensk frukt, så säga de: nej, fy katten, den kunna vi icke med, det skall vara utländsk. Så är det överallt.</w:t>
        <w:br/>
        <w:br/>
        <w:t>. Vad beträffar förvarandet och förpackningen av frukten, så böra</w:t>
        <w:br/>
        <w:br/>
        <w:t>herrarna tänka ett litet grand på att vi ha ett nordligt klimat. Vi kunna icke begagna samma förvaringsmetoder som i de sydliga länderna, ty vi ha här i landet något som heter vinter, och för att förvara en massa frukt fordras, att man har lokaler, som måste uppvärmas. Sådant kostar pengar, och de finnas icke tillgängliga i detta land.</w:t>
        <w:br/>
        <w:br/>
        <w:t>När, som jag nyss sade, man begär så litet som detta, och när</w:t>
        <w:br/>
        <w:br/>
        <w:t>fruktodlingen är så angelägen sak och av sådan vikt för dessa 10,000- tals småbrukare och rena arbetare, som icke ha något jordbruk men dock sina små trädgårdar, så tycker jag, att det vore märkvärdigt, om riksdagens andra kammare icke skulle vilja bistå dem en liten smula i detta avseende.</w:t>
        <w:br/>
        <w:br/>
        <w:t>Jag ber,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1600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