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1616</w:t>
      </w:r>
    </w:p>
    <w:p>
      <w:r>
        <w:rPr>
          <w:b/>
        </w:rPr>
        <w:t xml:space="preserve">Datum: </w:t>
      </w:r>
      <w:r>
        <w:t>1924-03-04</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Jacob Beskow (Lantmanna- och borgarepartiet inom andrakammaren, man)</w:t>
      </w:r>
    </w:p>
    <w:p>
      <w:r>
        <w:rPr>
          <w:b w:val="0"/>
        </w:rPr>
        <w:t xml:space="preserve">Rättighet att vid allmän rådstuga deltaga i överläggningar och beslut i alla de staden rörande angelägenheter, vilka icke enligt rikets grundlagar eller särskilda författningar äro vissa klasser av stadens medlemmar förbehållna, tillkommer en var inom kommunen mantalsskriven man eller </w:t>
      </w:r>
      <w:r>
        <w:rPr>
          <w:b/>
        </w:rPr>
        <w:t>kvinna¹</w:t>
      </w:r>
      <w:r>
        <w:rPr>
          <w:b w:val="0"/>
        </w:rPr>
        <w:t>, som är svensk undersåte samt senast under nästföregående kalenderår uppnått tjuguett års ålder.</w:t>
      </w:r>
    </w:p>
    <w:p>
      <w:pPr>
        <w:pStyle w:val="Heading2"/>
      </w:pPr>
      <w:r>
        <w:t>2. August Spångberg (Sveriges kommunistiska parti, man)</w:t>
      </w:r>
    </w:p>
    <w:p>
      <w:r>
        <w:rPr>
          <w:b w:val="0"/>
        </w:rPr>
        <w:t xml:space="preserve">Herr talman! I det utskottsutlåtande, som här avgivits, har man även i år anfört, att det är med hänsyn till den mognad och erfarenhet, som tarvas för aktivt deltagande i det offentliga livet, som man anser, att den nuvarande minimiåldern av 23 år låter sig väl försvaras. Det är samma motivering, som utskottet anförde förra året, och vilken man nu icke kan finna anledning att frångå. Det kan icke hjälpas, men jag kan icke underlåta att i detta fall uttala en mot utskottets direkt motsatt mening. Det måste verkligen anses såsom en fullständig undervärdering av den svenska ungdomen, när nu, såsom utskottet säger, ungdomen icke har erfarenhet eller mognad nog att deltaga i det offentliga livet. Det är ju ändå så, att denna ungdom vid fyllda 21 år under flera år med eget förvärvsarbete ansetts mogen att kunna försörja sig själv. Är det icke så, att Sveriges män och </w:t>
      </w:r>
      <w:r>
        <w:rPr>
          <w:b/>
        </w:rPr>
        <w:t>kvinnor¹</w:t>
      </w:r>
      <w:r>
        <w:rPr>
          <w:b w:val="0"/>
        </w:rPr>
        <w:t xml:space="preserve"> vid 21 års ålder ansetts mogna att kunna bilda familj, att kunna fostra och försörja barn? Är icke detta lika viktigt som ett deltagande i val? Får icke samma ungdom uppträda inför domstol? Är det icke så, — och det är kanske det icke minst viktiga — att den manliga befolkningen just vid denna ålder anses såsom allra mest lämpad och duglig att, såsom det på särskilt patriotiskt språk kallas, kläda blodig skjorta för fosterlandet, att utgöra fosterlandets värn?</w:t>
        <w:br/>
        <w:br/>
        <w:t>Jag antar, att det icke finns någon ledamot i denna kammare, som icke medger, att så är förhållandet. Jag menar därför, att när ungdomen sålunda visar sig vara mogen i alla de avseenden, som jag här berört, och visat sig tillfullo fylla de fordringar, som man kan ställa på en medborgare, måste jag verkligen säga, att det är minst sagt en skandalös undervärdering av ungdomens förtjänster, som utskottet här kommit till, när det vill lämna denna mogna och ansvarsfyllda ungdom utan de små rättigheter, som tillerkännas en medborgare i och med att han har rösträtt.</w:t>
        <w:br/>
        <w:br/>
        <w:t>För övrigt förhåller det sig ju så, att vid de långa valperioder, som nu äro gällande, valperioder som räcka i fyra år, skulle, om 21-årsgränsen infördes, ändock endast ett fåtal av 21-åringarna få tillfälle att deltaga i valen. Då, såsom nu är fallet, valen till andra kammaren förrättas i september månad, torde vi ha cirka 25,000 röstberättigade 21-åringar i landet. De övriga ha redan hunnit över 22-årsgränsen, och åtskilliga tiotusental medborgare komma att för varje sådan valperiod icke bliva i tillfälle att rösta förrän efter fyllda 25 år. Med de nuvarande bestämmelserna blir en mängd medborgare icke i tillfälle att rösta vid val till riksdagens andra kammare förrän efter fyllda 27 år.</w:t>
        <w:br/>
        <w:br/>
        <w:t>Beträffande landstingen ställer sig detta ännu mer rosenrasande. Här har man en mängd medborgare, som icke bliva i tillfälle att avgiva sin röstsedel på landstingsman förrän efter fyllda 30 år. För övrigt, då man tänker på rösträtten vid valen till landstingen, så finns det väl ingen i denna kammare, som på fullt allvar vill göra gällande, att denna rösträtt är väl avvägd. Jag finner den helt enkelt orimlig. Eller kan det sägas, att det finns något som helst förnuft uti att en person, som anses mogen att anförtros kommunala förtroendeuppdrag, som anses mogen att representera i andra kammaren, finns det — frågar jag — det minsta förnuft i att denna persun icke skulle ha det förtroendet att få lägga sin röstsedel i valurnan vid val av landstingsmän? Man kan verkligen här tala om en fullständig förvirring, och man begagnar ändå ett svagt uttryck.</w:t>
        <w:br/>
        <w:br/>
        <w:t>Nu har vid föregående tillfällen här i kammaren framhållits — och utskottet gör även i år gällande — att den höga åldersgränsen av 27 år, som stadgats i fråga om rösträtt vid landstingsmannaval, avser att bidraga till att upprätthålla en artskillnad mellan de båda kamrarna, och utskottet anför, att »det synes utskottet rimligt, att detta stadgande icke göres till föremål för ändring lösryckt ur sitt sålunda givna sammanhang med frågan om grunderna i övrigt för första kammarens bildande». Nu är det givetvis alldeles riktigt, att denna höga åldersgräns upprättats i akt och mening att jämte en del andra faktorer åstadkomma en artskillnad mellan båda kamrarna. Det är ju känt, huru man från borgerligt håll vill ha en så konservativ första kammare som möjligt; och denna höga rösträttsålder är givetvis en viktig faktor att räkna med vid bildandet av denna synnerligen konservativa kammare.</w:t>
        <w:br/>
        <w:br/>
        <w:t>Innan den graderade röstskalan avskaffades, var det aldrig tal om att 21-års gränsen var för låg, emedan man på högerhåll väl visste, att då kunde icke under några förhållanden arbetarungdomen få något inflytande på valen. Men så snart den graderade röstskalan försvann, funno plötsligt dessa herrar, som förut velat, att hästar, oxar och svin skulle representera själva röstvärdet, att arbetarungdomen eller ungdom överhuvud taget vid 21 års ålder icke var mogen att deltaga i valen, och då var det lämpligt att införa detta åldersstreck för att därigenom beröva några av den arbetande klassens viktigaste åldersklasser möjligheten att utöva sin rösträtt.</w:t>
        <w:br/>
        <w:br/>
        <w:t>Från arbetarhåll finns det givetvis ingen som helst anledning att finna sig i denna behandling. Jag skall nu villigt medge, att vi på kommunistiskt håll icke på något vis sökt överskatta betydelsen av rösträttsålderns sänkning. Det finns andra — det veta vi mycket väl — för arbetarklassen minst lika viktiga faktorer att räkna med — faktorer, som ligga utanför den parlamentariska verksamheten. Men vi göra oss heller icke skyldiga till något underskattande av rösträttens betydelse, och det är tämligen sannolikt, att en sänkning av rösträttsåldern, i enlighet med vad vi här föreslagit, också skall ge den fattigare befolkningen ett något större politiskt inflytande, vilket givetvis i någon ringa mån skall kunna inverka på samhällsförhållandena till den fattigare befolkningens bästa, så långt som detta är möjligt inom den borgerliga demokratiens ram.</w:t>
        <w:br/>
        <w:br/>
        <w:t>Ja, herr talman, detta är några synpunkter, som jag velat framföra gent emot utskottets majoritet.</w:t>
        <w:br/>
        <w:br/>
        <w:t>Vad beträffar första kammaren har såsom bekant den kommunistiska gruppen i år väckt en motion om dess avskaffande. Då denna rösträttsmotion, som nu är under behandling, tycks hava väckt upp ett visst missförstånd hos reservanterna, vill jag säga till såväl reservanterna som dem av kammarens ledamöter, som eventuellt ha fastnat på reservationens ordalydelse, att detta är den naturliga anledningen, varför vi i år icke motionerat om rösträtt vid val av elektorer till första kammaren. Jag utgår här ifrån den uppfattningen, att</w:t>
        <w:br/>
        <w:br/>
        <w:t>riksdagen icke samtidigt som den skulle besluta om första kammarens avskaffande även skulle besluta förändrade grunder för val av samma kammare. Jag räknar med att, då enkammarsystemet även är ett gammalt socialdemokratiskt krav, och då till och med socialdemokraten Lindhagen i år motionerat om första kammarens avskaffande, vi komma på grund av dessa förhållanden att, såvida icke socialdemokraterna tänka frångå sin ståndpunkt rörande programmet om enkammarsystem, från detta håll erhålla ett visst stöd.</w:t>
        <w:br/>
        <w:br/>
        <w:t>Ja, herr talman, på grund av de skäl, som anförts, anhåller jag att få yrka bifall till den av mig jämte partikamrater i kammaren väckta motionen.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1616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