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1624</w:t>
      </w:r>
    </w:p>
    <w:p>
      <w:r>
        <w:rPr>
          <w:b/>
        </w:rPr>
        <w:t xml:space="preserve">Datum: </w:t>
      </w:r>
      <w:r>
        <w:t>1924-03-28</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Helge Bäcklund (Socialdemokraterna, man)</w:t>
      </w:r>
    </w:p>
    <w:p>
      <w:r>
        <w:rPr>
          <w:b w:val="0"/>
        </w:rPr>
        <w:t>Herr talman! Jag måste säga några ord med anledning av herr Hamrins anförande.</w:t>
        <w:br/>
        <w:br/>
        <w:t xml:space="preserve">Herr Hamrin står här i dag och säger, att herr Bäcklund inte drar sig för att komma med förslag till nya pensioner bara detta går igenom. Herr Hamrin har eljest inte dragit sig för att motionera uti sådana här saker — men hans motion föreligger icke nu till behandling. Han har sålunda motionerat om pension till en </w:t>
      </w:r>
      <w:r>
        <w:rPr>
          <w:b/>
        </w:rPr>
        <w:t>änka²</w:t>
      </w:r>
      <w:r>
        <w:rPr>
          <w:b w:val="0"/>
        </w:rPr>
        <w:t xml:space="preserve"> med ett barn i Jönköping, som inte var berättigad till pension, därför att mannen uraktlät att betala avgifterna till statens järnvägars </w:t>
      </w:r>
      <w:r>
        <w:rPr>
          <w:b/>
        </w:rPr>
        <w:t>änkeoch²</w:t>
      </w:r>
      <w:r>
        <w:rPr>
          <w:b w:val="0"/>
        </w:rPr>
        <w:t xml:space="preserve"> pupillkassa, och </w:t>
      </w:r>
      <w:r>
        <w:rPr>
          <w:b/>
        </w:rPr>
        <w:t>änkan²</w:t>
      </w:r>
      <w:r>
        <w:rPr>
          <w:b w:val="0"/>
        </w:rPr>
        <w:t xml:space="preserve"> för den skull inte hade rätt att erhålla pension. Jag har emellertid behjärtat även den saken och i utskottet gått med på och på det varmaste understött herr Hamrins motion. Un-</w:t>
        <w:br/>
        <w:br/>
        <w:t>der sådana förhållanden borde inte herr Hamrin komma och tala mot den, som inte haft den lyckan att få utskottet med sig, som herr Hamrin har haft, och göra gällande och två sina händer och säga: bara detta går igenom, så kommer herr Bäcklund tillbaka och hittar på något mera. Jag har påvisat förut i debatten, att det inte torde inträffa många fall, som äro jämförbara med detta och alltså bör det inte leda till några farliga konsekvenser för riksdagen att giva dessa 125 kronor i utökning på ifrågavarande Ragnars pension.</w:t>
      </w:r>
    </w:p>
    <w:p>
      <w:pPr>
        <w:pStyle w:val="Heading2"/>
      </w:pPr>
      <w:r>
        <w:t>2. Fabian Månsson (Socialdemokraterna, man)</w:t>
      </w:r>
    </w:p>
    <w:p>
      <w:r>
        <w:rPr>
          <w:b w:val="0"/>
        </w:rPr>
        <w:t xml:space="preserve">När herr Hamrin säger, att det är en förmån för en person att hava arbete efter att ha fått avsked från sin befattning, så är det naturligtvis i viss mån sant. Men om nu herr Hamrin på grund härav utdömer pensioner åt sådana personer, då måste ju alla dessa pensioner på 800— 1,000 kronor till änkor som titt och tätt förekomma, också utdömas. Och varför? Jo, bara därför att dessa änkor varit gifta med befattningshavare i statens tjänst, som haft betydliga inkomster upp till 30 och 40 tusen kronor, visserligen icke direkt i statslön men tillsammans med betydande inkomster vid sidan av statslönen. När personer med sådana inkomster dö, är det sällan något krångel eller knussel, när det gäller att giva vederbörande </w:t>
      </w:r>
      <w:r>
        <w:rPr>
          <w:b/>
        </w:rPr>
        <w:t>änka²</w:t>
      </w:r>
      <w:r>
        <w:rPr>
          <w:b w:val="0"/>
        </w:rPr>
        <w:t xml:space="preserve">, även om </w:t>
      </w:r>
      <w:r>
        <w:rPr>
          <w:b/>
        </w:rPr>
        <w:t>hon²</w:t>
      </w:r>
      <w:r>
        <w:rPr>
          <w:b w:val="0"/>
        </w:rPr>
        <w:t xml:space="preserve"> är i besittning av större förmögenhet, en pension på 800 till 1,000 kronor. Men när det gäller ett sådant fall som detta, när det gäller fattiga 125 kronor i tillägg å en liten pension, åstadkommer man en sådan debatt, att omkostnaderna för sammanträdet och papper och stenografer gå till mycket mera, än den summa, det här gäller.</w:t>
      </w:r>
    </w:p>
    <w:p>
      <w:pPr>
        <w:pStyle w:val="Heading2"/>
      </w:pPr>
      <w:r>
        <w:t>3. Felix Hamrin (Folkpartiet, man)</w:t>
      </w:r>
    </w:p>
    <w:p>
      <w:r>
        <w:rPr>
          <w:b w:val="0"/>
        </w:rPr>
        <w:t xml:space="preserve">Herr talman! Med all respekt för den siste ärade talarens insikter uti ekonomiska ting vill jag säga, att han här tydligen har givit sig ut på ett område, som han ej behärskar. Åtminstone i de flesta fall, som jag känner till, förhåller det sig så, att dessa änkors män erlagt avgifter till </w:t>
      </w:r>
      <w:r>
        <w:rPr>
          <w:b/>
        </w:rPr>
        <w:t>änkeoch²</w:t>
      </w:r>
      <w:r>
        <w:rPr>
          <w:b w:val="0"/>
        </w:rPr>
        <w:t xml:space="preserve"> pupillkassan. Så är förhållandet med »min </w:t>
      </w:r>
      <w:r>
        <w:rPr>
          <w:b/>
        </w:rPr>
        <w:t>änka²</w:t>
      </w:r>
      <w:r>
        <w:rPr>
          <w:b w:val="0"/>
        </w:rPr>
        <w:t xml:space="preserve">» från Jönköping, som herr Bäcklund drog fram. </w:t>
      </w:r>
      <w:r>
        <w:rPr>
          <w:b/>
        </w:rPr>
        <w:t>Hennes²</w:t>
      </w:r>
      <w:r>
        <w:rPr>
          <w:b w:val="0"/>
        </w:rPr>
        <w:t xml:space="preserve"> man har under loppet av, jag minnes kanske inte riktigt, men jag tror 40 år, betalat avgifter till denna </w:t>
      </w:r>
      <w:r>
        <w:rPr>
          <w:b/>
        </w:rPr>
        <w:t>änkeoch²</w:t>
      </w:r>
      <w:r>
        <w:rPr>
          <w:b w:val="0"/>
        </w:rPr>
        <w:t xml:space="preserve"> pupillkassa, men </w:t>
      </w:r>
      <w:r>
        <w:rPr>
          <w:b/>
        </w:rPr>
        <w:t>hon²</w:t>
      </w:r>
      <w:r>
        <w:rPr>
          <w:b w:val="0"/>
        </w:rPr>
        <w:t xml:space="preserve"> var ju inte i alla fall berättigad till pension, på grund därav att </w:t>
      </w:r>
      <w:r>
        <w:rPr>
          <w:b/>
        </w:rPr>
        <w:t>hennes²</w:t>
      </w:r>
      <w:r>
        <w:rPr>
          <w:b w:val="0"/>
        </w:rPr>
        <w:t xml:space="preserve"> man utträdde ur kassan, innan han gifte sig med </w:t>
      </w:r>
      <w:r>
        <w:rPr>
          <w:b/>
        </w:rPr>
        <w:t>henne²</w:t>
      </w:r>
      <w:r>
        <w:rPr>
          <w:b w:val="0"/>
        </w:rPr>
        <w:t>. Varför har jag väckt denna motion, herr Bäcklund? Jo, därför att andra kammaren har gått in för sådana principer, som kunde tillämpas i detta fall. Jag hade aldrig gjort det annars, det försäkrar jag. Men gå vi in för nya principer komma jag och andra här 1 kammaren att känna oss oförhindrade att väcka nya motioner i sådana här frågor, med åberopande av riksdagens tidigare beslut.</w:t>
        <w:br/>
        <w:br/>
        <w:t xml:space="preserve">För övrigt vill jag lämna kammarens ledamöter den upplysningen, att »min </w:t>
      </w:r>
      <w:r>
        <w:rPr>
          <w:b/>
        </w:rPr>
        <w:t>änka²</w:t>
      </w:r>
      <w:r>
        <w:rPr>
          <w:b w:val="0"/>
        </w:rPr>
        <w:t>» fick 400 kronor för sig och ett oförsörjt barn och den man, som det här är fråga om skulle få över 600 kronor, och det är ju någonting helt annat.</w:t>
      </w:r>
    </w:p>
    <w:p>
      <w:pPr>
        <w:pStyle w:val="Heading2"/>
      </w:pPr>
      <w:r>
        <w:t>4. Carl Loven (Socialdemokraterna, man)</w:t>
      </w:r>
    </w:p>
    <w:p>
      <w:r>
        <w:rPr>
          <w:b w:val="0"/>
        </w:rPr>
        <w:t xml:space="preserve">Herr talman, mina damer och herrar! I förevarande punkt har utskottet tillstyrkt Kungl. Maj:ts proposition om en pension av 800 kronor åt </w:t>
      </w:r>
      <w:r>
        <w:rPr>
          <w:b/>
        </w:rPr>
        <w:t>änkefru²</w:t>
      </w:r>
      <w:r>
        <w:rPr>
          <w:b w:val="0"/>
        </w:rPr>
        <w:t xml:space="preserve"> Weibull. Detta bevisar väl allra bäst, hur principlösa bankoutskottets förslag äro, när det gäller pensioner. Då det är fråga om en statstjänare, som under längre eller kortare tid lagt ned allt sitt arbete 1 statens tjänst, avstyrker man pension, men när det gäller en </w:t>
      </w:r>
      <w:r>
        <w:rPr>
          <w:b/>
        </w:rPr>
        <w:t>änka²</w:t>
      </w:r>
      <w:r>
        <w:rPr>
          <w:b w:val="0"/>
        </w:rPr>
        <w:t>, visserligen efter en mycket duglig man, men i vilket fall det icke föreligger något egentligen talande skäl för pension, då är man nära nog enhällig i sitt tillstyrkande.</w:t>
        <w:br/>
        <w:br/>
        <w:t xml:space="preserve">Verkställd utredning visar, att behållningen i boet efter </w:t>
      </w:r>
      <w:r>
        <w:rPr>
          <w:b/>
        </w:rPr>
        <w:t>änkefru²</w:t>
      </w:r>
      <w:r>
        <w:rPr>
          <w:b w:val="0"/>
        </w:rPr>
        <w:t xml:space="preserve"> Weibulls make, professor Weibull, uppgick till 41,774 kronor, vilket belopp väl, när det gäller att bedöma huruvida en ekonomisk ställning är sådan att den kan föranleda pension, får betraktas som en ganska avsevärd summa. Det har dessutom utretts, att professor Weibull hade möjlighet att bli delägare i civilstatens </w:t>
      </w:r>
      <w:r>
        <w:rPr>
          <w:b/>
        </w:rPr>
        <w:t>änkeoch²</w:t>
      </w:r>
      <w:r>
        <w:rPr>
          <w:b w:val="0"/>
        </w:rPr>
        <w:t xml:space="preserve"> pupillkassa, men att han icke begagnade sig av denna möjlighet utan för den summa, vilken han skulle ha erlagt för vinnande av delaktighet, inköpt en livförsäkring på 10,000 kronor. |</w:t>
        <w:br/>
        <w:br/>
        <w:t>Nu sade herr Hamrin alldeles nyss, att när änkor tilldelades pension, detta i regeln skedde därför att männen erlagt avgifter till pensionskassan. Så var</w:t>
        <w:br/>
        <w:br/>
        <w:t xml:space="preserve">förhållandet med »herr Hamrins </w:t>
      </w:r>
      <w:r>
        <w:rPr>
          <w:b/>
        </w:rPr>
        <w:t>änka²</w:t>
      </w:r>
      <w:r>
        <w:rPr>
          <w:b w:val="0"/>
        </w:rPr>
        <w:t xml:space="preserve">», men det gäller icke beträffande denna </w:t>
      </w:r>
      <w:r>
        <w:rPr>
          <w:b/>
        </w:rPr>
        <w:t>änka²</w:t>
      </w:r>
      <w:r>
        <w:rPr>
          <w:b w:val="0"/>
        </w:rPr>
        <w:t xml:space="preserve">, vars man kunde ha kommit in i kassan men inte ville. Statskontoret har anfört, att </w:t>
      </w:r>
      <w:r>
        <w:rPr>
          <w:b/>
        </w:rPr>
        <w:t>änkefru²</w:t>
      </w:r>
      <w:r>
        <w:rPr>
          <w:b w:val="0"/>
        </w:rPr>
        <w:t xml:space="preserve"> Weibull icke har minderåriga barn att försörja utan att det tvärtom förhåller sig så, att </w:t>
      </w:r>
      <w:r>
        <w:rPr>
          <w:b/>
        </w:rPr>
        <w:t>hon²</w:t>
      </w:r>
      <w:r>
        <w:rPr>
          <w:b w:val="0"/>
        </w:rPr>
        <w:t xml:space="preserve"> bör kunna påräkna understöd av sina barn. Man har förut i utskottet avstyrkt och här i kammaren tidigare i dag och under föregående år avslagit framställningar om pension, vilka varit mycket behjärtansvärda. Vi hade i fjol en fråga om pension åt en </w:t>
      </w:r>
      <w:r>
        <w:rPr>
          <w:b/>
        </w:rPr>
        <w:t>änka²</w:t>
      </w:r>
      <w:r>
        <w:rPr>
          <w:b w:val="0"/>
        </w:rPr>
        <w:t xml:space="preserve">, som satt ute i skogen med en hel mängd minderåriga barn; </w:t>
      </w:r>
      <w:r>
        <w:rPr>
          <w:b/>
        </w:rPr>
        <w:t>hon²</w:t>
      </w:r>
      <w:r>
        <w:rPr>
          <w:b w:val="0"/>
        </w:rPr>
        <w:t xml:space="preserve"> hade en halvt förfallen stuga och en utsvulten ko, men det ansågs vara tillräcklig förmögenhet, för att framställningen om pension skulle avslås. Man kan ställa sig undrande och frågande, om det är riktigt och vart det skall bära hän, som det sades av bankoutskottets ordförande, då det gällde soldaten Ragnar, liksom ock av herr Hamrin, när man beviljar pensioner under de förutsättningar, som föreligga i detta fall. Statskontoret har sagt, att det kan starkt ifrågasättas, huruvida någon pension borde utverkas åt </w:t>
      </w:r>
      <w:r>
        <w:rPr>
          <w:b/>
        </w:rPr>
        <w:t>änkefru²</w:t>
      </w:r>
      <w:r>
        <w:rPr>
          <w:b w:val="0"/>
        </w:rPr>
        <w:t xml:space="preserve"> Weibull. Departementschefen säger, att det kan ifrågasättas, huruvida </w:t>
      </w:r>
      <w:r>
        <w:rPr>
          <w:b/>
        </w:rPr>
        <w:t>fru²</w:t>
      </w:r>
      <w:r>
        <w:rPr>
          <w:b w:val="0"/>
        </w:rPr>
        <w:t xml:space="preserve"> Weibull bör ha pension, och så säger utskottet, att det kan ifrågasättas, huruvida </w:t>
      </w:r>
      <w:r>
        <w:rPr>
          <w:b/>
        </w:rPr>
        <w:t>änkefru²</w:t>
      </w:r>
      <w:r>
        <w:rPr>
          <w:b w:val="0"/>
        </w:rPr>
        <w:t xml:space="preserve"> Weibull skall ha någon pension. Det är knorr hela vägen från statskontoret, departementschefen och utskottet. De knorra och ifrågasätta starkt, men i klämmen äro de samtliga med om att bevilja 800 kronor. Redan förut i år har i utskottet avstyrkts pensioner, beträffande vilka myndigheter och verkstyrelsen tillstyrkt; men där myndigheterna så starkt ifrågasätta, huruvida pension borde beviljas, där går man med i alla fall på ett beviljande.</w:t>
        <w:br/>
        <w:br/>
        <w:t>Som en protest mot detta principlösa sätt att bevilja pension och mot det sätt, enligt vilket de fattigaste ingenting få men den, som har något så när, får pension, ber jag, herr talman, att få yrka avslag å utskottets hemställan.</w:t>
      </w:r>
    </w:p>
    <w:p>
      <w:pPr>
        <w:pStyle w:val="Heading2"/>
      </w:pPr>
      <w:r>
        <w:t>5. Swen Jönsson (Frisinnade folkpartiet, man)</w:t>
      </w:r>
    </w:p>
    <w:p>
      <w:r>
        <w:rPr>
          <w:b w:val="0"/>
        </w:rPr>
        <w:t xml:space="preserve">Herr talman! Det förefaller mig, 1 motsats till den föregående ärade talaren, som om mycket goda skäl förelåge för bifall till utskottets hemställan. Herr Lovén erinrade om, att </w:t>
      </w:r>
      <w:r>
        <w:rPr>
          <w:b/>
        </w:rPr>
        <w:t>änkefru²</w:t>
      </w:r>
      <w:r>
        <w:rPr>
          <w:b w:val="0"/>
        </w:rPr>
        <w:t xml:space="preserve"> Weibull icke befinner sig i en nödställd belägenhet, som skulle motivera denna lilla pension av 800 kronor. Det förhåller sig i varje fall så, att </w:t>
      </w:r>
      <w:r>
        <w:rPr>
          <w:b/>
        </w:rPr>
        <w:t>fru²</w:t>
      </w:r>
      <w:r>
        <w:rPr>
          <w:b w:val="0"/>
        </w:rPr>
        <w:t xml:space="preserve"> Weibulls förmögenhet till stor del är placerad i en fastighet i Stocksund. Det har vidare i bankoutskottet blivit upplyst, att förmögenheten i övrigt är placerad i aktier, som giva mycket litet och i något fall endast en ytterst ringa inkomst. </w:t>
      </w:r>
      <w:r>
        <w:rPr>
          <w:b/>
        </w:rPr>
        <w:t>Änkefru²</w:t>
      </w:r>
      <w:r>
        <w:rPr>
          <w:b w:val="0"/>
        </w:rPr>
        <w:t xml:space="preserve"> Weibull befinner sig sålunda i en belägenhet, som gör, att det av utskottet föreslagna pensionsbeloppet säkerligen är mycket välkommet. Jag tror emellertid, att såväl utskottet som riksdagen har mycket goda skäl i övrigt för ett bifall till förevarande framställning. Professor Weibull, </w:t>
      </w:r>
      <w:r>
        <w:rPr>
          <w:b/>
        </w:rPr>
        <w:t>änkefru²</w:t>
      </w:r>
      <w:r>
        <w:rPr>
          <w:b w:val="0"/>
        </w:rPr>
        <w:t xml:space="preserve"> Weibulls man, var knuten vid Alnarps lantbruksinstitut ända från och med 1883 till och med 1922, med undantag endast av de 9 år, då han förestod Malmöhus läns kemiska kontrollanstalt i Lund. Han var ända från 1911 till 1922 rektor vid institutet. Då han i slutet av 1922 avgick, blev han tillförsäkrad pension med 5,000 kronor, men redan på våren 1923 avled professor Weibull.</w:t>
        <w:br/>
        <w:br/>
        <w:t xml:space="preserve">Nu säger herr Lovén, och det har också uttalats från andra håll, att Weibull bort söka inträde i pensionsanstalten, så att hans efterlämnade </w:t>
      </w:r>
      <w:r>
        <w:rPr>
          <w:b/>
        </w:rPr>
        <w:t>änka²</w:t>
      </w:r>
      <w:r>
        <w:rPr>
          <w:b w:val="0"/>
        </w:rPr>
        <w:t xml:space="preserve"> varit ekonomiskt tryggad. Det är riktigt, men det bör å andra sidan erinras därom att professor Weibulls förmögenhetsställning knappast var sådan, att med de betydande retroaktivavgifter, som han hade att erlägga vid inträde i anstalten, han icke vågade sig på att vinna delaktighet i kassan utan föredrog att taga en livförsäkring.</w:t>
        <w:br/>
        <w:br/>
        <w:t>Då jag biträtt utskottets hemställan har jag emellertid huvudsakligen gjort det i tanke på den långa och hedrande läraregärning, som professor Weibull utfört under den långa tid han var anställd vid Alnarps lantbruksinstitut; och</w:t>
        <w:br/>
        <w:br/>
        <w:t xml:space="preserve">det förefaller mig, som om, då Weibull dog så snart efter det han intrält i pen- Te, pension sionsåldern, det vore en gärd av rättvisa att lämna </w:t>
      </w:r>
      <w:r>
        <w:rPr>
          <w:b/>
        </w:rPr>
        <w:t>änkefru²</w:t>
      </w:r>
      <w:r>
        <w:rPr>
          <w:b w:val="0"/>
        </w:rPr>
        <w:t xml:space="preserve"> Weibull denna lilla dat M Wei</w:t>
        <w:br/>
        <w:br/>
        <w:t xml:space="preserve">pension. | | bulls </w:t>
      </w:r>
      <w:r>
        <w:rPr>
          <w:b/>
        </w:rPr>
        <w:t>änka²</w:t>
      </w:r>
      <w:r>
        <w:rPr>
          <w:b w:val="0"/>
        </w:rPr>
        <w:t>. Jag ber, herr talman, att få yrka bifall till utskottets hemställan. (Forts.)</w:t>
      </w:r>
    </w:p>
    <w:p>
      <w:pPr>
        <w:pStyle w:val="Heading2"/>
      </w:pPr>
      <w:r>
        <w:t>6. Anders Paulsen (Socialdemokraterna, man)</w:t>
      </w:r>
    </w:p>
    <w:p>
      <w:r>
        <w:rPr>
          <w:b w:val="0"/>
        </w:rPr>
        <w:t xml:space="preserve">Herr talman! TI den förevarande punkten gäller det en </w:t>
      </w:r>
      <w:r>
        <w:rPr>
          <w:b/>
        </w:rPr>
        <w:t>änka²</w:t>
      </w:r>
      <w:r>
        <w:rPr>
          <w:b w:val="0"/>
        </w:rPr>
        <w:t xml:space="preserve">, för vilken Kungl. Maj:t föreslagit en pension på 800 kronor. Denna </w:t>
      </w:r>
      <w:r>
        <w:rPr>
          <w:b/>
        </w:rPr>
        <w:t>änka²</w:t>
      </w:r>
      <w:r>
        <w:rPr>
          <w:b w:val="0"/>
        </w:rPr>
        <w:t xml:space="preserve"> intager icke någon särskilt dålig ekonomisk ställning, då bouppteckningen visar en behållning av 41,774 kronor. Enligt mitt sätt att se är </w:t>
      </w:r>
      <w:r>
        <w:rPr>
          <w:b/>
        </w:rPr>
        <w:t>hon²</w:t>
      </w:r>
      <w:r>
        <w:rPr>
          <w:b w:val="0"/>
        </w:rPr>
        <w:t xml:space="preserve"> ej fattig. Bankoutskottet, som i alla fall tillstyrker, har här en helt annan mening än när det gällde den gamle, sjuke, fattige soldaten Ragnar. Jag tycker, att den </w:t>
      </w:r>
      <w:r>
        <w:rPr>
          <w:b/>
        </w:rPr>
        <w:t>änka²</w:t>
      </w:r>
      <w:r>
        <w:rPr>
          <w:b w:val="0"/>
        </w:rPr>
        <w:t xml:space="preserve"> det här är fråga om har så pass mycket, att </w:t>
      </w:r>
      <w:r>
        <w:rPr>
          <w:b/>
        </w:rPr>
        <w:t>hon²</w:t>
      </w:r>
      <w:r>
        <w:rPr>
          <w:b w:val="0"/>
        </w:rPr>
        <w:t xml:space="preserve"> kan leva därav; </w:t>
      </w:r>
      <w:r>
        <w:rPr>
          <w:b/>
        </w:rPr>
        <w:t>hon²</w:t>
      </w:r>
      <w:r>
        <w:rPr>
          <w:b w:val="0"/>
        </w:rPr>
        <w:t xml:space="preserve"> är icke absolut i behov av dessa 800 kronor. </w:t>
      </w:r>
      <w:r>
        <w:rPr>
          <w:b/>
        </w:rPr>
        <w:t>Hon²</w:t>
      </w:r>
      <w:r>
        <w:rPr>
          <w:b w:val="0"/>
        </w:rPr>
        <w:t xml:space="preserve"> har visserligen bara hälften av vad bouppteckningen visar. Det fanns nämligen intet testamente, och barnen skola alltså ha den andra hälften. Men är det något till barn, se de väl till att deras </w:t>
      </w:r>
      <w:r>
        <w:rPr>
          <w:b/>
        </w:rPr>
        <w:t>mor²</w:t>
      </w:r>
      <w:r>
        <w:rPr>
          <w:b w:val="0"/>
        </w:rPr>
        <w:t xml:space="preserve"> har vad </w:t>
      </w:r>
      <w:r>
        <w:rPr>
          <w:b/>
        </w:rPr>
        <w:t>hon²</w:t>
      </w:r>
      <w:r>
        <w:rPr>
          <w:b w:val="0"/>
        </w:rPr>
        <w:t xml:space="preserve"> behöver. De taga väl inte halva förmögenheten ifrån </w:t>
      </w:r>
      <w:r>
        <w:rPr>
          <w:b/>
        </w:rPr>
        <w:t>henne²</w:t>
      </w:r>
      <w:r>
        <w:rPr>
          <w:b w:val="0"/>
        </w:rPr>
        <w:t xml:space="preserve"> 1 fall </w:t>
      </w:r>
      <w:r>
        <w:rPr>
          <w:b/>
        </w:rPr>
        <w:t>hon²</w:t>
      </w:r>
      <w:r>
        <w:rPr>
          <w:b w:val="0"/>
        </w:rPr>
        <w:t xml:space="preserve"> behöver den. |</w:t>
        <w:br/>
        <w:br/>
        <w:t xml:space="preserve">Jag är för min del närmast böjd för att gå med på herr Lovéns yrkande om avslag, men då jag tror, att det icke går att få avslagsyrkandet igenom i kammaren, ber jag, herr talman, att få framställa det yrkandet, att </w:t>
      </w:r>
      <w:r>
        <w:rPr>
          <w:b/>
        </w:rPr>
        <w:t>änkefru²</w:t>
      </w:r>
      <w:r>
        <w:rPr>
          <w:b w:val="0"/>
        </w:rPr>
        <w:t xml:space="preserve"> Weibull måtte tilldelas en pension av 500 kronor, i stället för av bankoutskottet föreslagna 800 kronor.</w:t>
      </w:r>
    </w:p>
    <w:p>
      <w:pPr>
        <w:pStyle w:val="Heading2"/>
      </w:pPr>
      <w:r>
        <w:t>7. Bernhard Eriksson (Socialdemokraterna, man)</w:t>
      </w:r>
    </w:p>
    <w:p>
      <w:r>
        <w:rPr>
          <w:b w:val="0"/>
        </w:rPr>
        <w:t xml:space="preserve">Herr talman! Vid behandlingen av detta ärende har det rått stor tvekan inom bankoutskottet. Det märka ju kammarens ledamöter av den motivering utskottet presterat, och det framgår för övrigt av det hela. För egen del var jag från första stund mest böjd för att gå på avslag. Emellertid framhävdes särskilt från lantmannahåll med styrka de stora tjänster professor Weibull gjort vårt land, och man ansåg, att hans förtjänstfulla gärning borde få ett erkännande genom en pension till hans </w:t>
      </w:r>
      <w:r>
        <w:rPr>
          <w:b/>
        </w:rPr>
        <w:t>änka²</w:t>
      </w:r>
      <w:r>
        <w:rPr>
          <w:b w:val="0"/>
        </w:rPr>
        <w:t xml:space="preserve">. Under sådana förhållanden kunde jag för min del icke finna, att, när Kungl. Maj:t föreslagit denna pension, bankoutskottet borde avstyrka densamma. Jag känner ju icke professor Weibulls gärning annat än genom de uttalanden därom, som jag hört, och något litet genom vad jag själv läst. Men det torde vara en allmän uppfattning inom lantmannakretsar och hos dem som i övrigt trängt in i frågan, att professor Weibull gjort vårt land mycket stora tjänster genom sin forskaregärning. Nu är det i alla fall ett mycket egendomligt förhållande, som råder beträffande denna pensionsfråga, men icke endast beträffande denna, utan även i upprepade andra fall. Det är nämligen här fråga om en befattningshavare, som haft möjlighet att gå in i </w:t>
      </w:r>
      <w:r>
        <w:rPr>
          <w:b/>
        </w:rPr>
        <w:t>änkeoch²</w:t>
      </w:r>
      <w:r>
        <w:rPr>
          <w:b w:val="0"/>
        </w:rPr>
        <w:t xml:space="preserve"> pupillkassan men inte brytt sig om att göra det. Det har som sagt upprepade gånger inträffat, att tjänstemän eller befattningshavare underlåta att ingå i </w:t>
      </w:r>
      <w:r>
        <w:rPr>
          <w:b/>
        </w:rPr>
        <w:t>änkeoch²</w:t>
      </w:r>
      <w:r>
        <w:rPr>
          <w:b w:val="0"/>
        </w:rPr>
        <w:t xml:space="preserve"> pupillkassan. Och när de sedan avlida, så står </w:t>
      </w:r>
      <w:r>
        <w:rPr>
          <w:b/>
        </w:rPr>
        <w:t>änkan²</w:t>
      </w:r>
      <w:r>
        <w:rPr>
          <w:b w:val="0"/>
        </w:rPr>
        <w:t xml:space="preserve"> där utan några försörjningsmöjligheter. I detta fall finns det visserligen någon behållning i boet, men oftast är det ingen alls. Vidare är det även sådana fall som det, i fråga om vilket herr Hamrin väckte sin motion. Där är det fråga om äldre tjänstemän, som tillhört </w:t>
      </w:r>
      <w:r>
        <w:rPr>
          <w:b/>
        </w:rPr>
        <w:t>änkeoch²</w:t>
      </w:r>
      <w:r>
        <w:rPr>
          <w:b w:val="0"/>
        </w:rPr>
        <w:t xml:space="preserve"> pupillkassan men sedan blivit </w:t>
      </w:r>
      <w:r>
        <w:rPr>
          <w:b/>
        </w:rPr>
        <w:t>änkemän²</w:t>
      </w:r>
      <w:r>
        <w:rPr>
          <w:b w:val="0"/>
        </w:rPr>
        <w:t xml:space="preserve"> och utgått ur kassan samt på gamla dagar gift om sig med unga </w:t>
      </w:r>
      <w:r>
        <w:rPr>
          <w:b/>
        </w:rPr>
        <w:t>kvinnor¹</w:t>
      </w:r>
      <w:r>
        <w:rPr>
          <w:b w:val="0"/>
        </w:rPr>
        <w:t xml:space="preserve"> och därvid icke vilja betala retroaktivavgifterna för att åter bli delägare i kassan. Och sedan kommer man och säger, att staten skall betala pension till änkorna, trots att de kunna vara ganska unga till åren. Det kan inte få fortsätta på detta sätt, det måste bli ett slut med detta. Tjänstemännen måste finna sig i att betala avgifterna till </w:t>
      </w:r>
      <w:r>
        <w:rPr>
          <w:b/>
        </w:rPr>
        <w:t>änkeoch²</w:t>
      </w:r>
      <w:r>
        <w:rPr>
          <w:b w:val="0"/>
        </w:rPr>
        <w:t xml:space="preserve"> pupillkassan, eller också få deras änkor bli utan pension. Emellertid kan man naturligtvis inte utan</w:t>
        <w:br/>
        <w:br/>
        <w:t>vidare säga, att någon pension i dylika fall icke vidare kommer att beviljas, utan man får försöka finna någon form för att klart och tydligt säga ifrån till vederbörande tjänstemän, att de måste se om sitt hus. Staten har ordnat det så, att de kunna bereda pensionsmöjligheter åt sina änkor och barn, och vilja de icke göra det, så kan staten icke vidare träda emellan. TI det nya avlöningsreglementet har man ju också gått in för en sådan princip, och skulle något ytterligare behöva göras, så får man väl se till, att det blir gjort.</w:t>
        <w:br/>
        <w:br/>
        <w:t xml:space="preserve">I det fall, som nu föreligger, har utskottet dock gjort en viss ändring i Kungl. Maj:ts förslag. Kungl. Maj:t hade nämligen föreslagit, att </w:t>
      </w:r>
      <w:r>
        <w:rPr>
          <w:b/>
        </w:rPr>
        <w:t>änkefru²</w:t>
      </w:r>
      <w:r>
        <w:rPr>
          <w:b w:val="0"/>
        </w:rPr>
        <w:t xml:space="preserve"> Weibull skulle få pension från och med den 1 juli 1923, men bankoutskottet har i stället föreslagit, att pensionen skulle utgå först från och med den 1 juli 1924. Bankoutskottet har alltså framflyttat den tidpunkt, från vilken pensionen skall börja utgå, med ett år och därmed visat, att bankoutskottet i denna sak varit mycket tveksamt. Då jag deltagit i bankoutskottets beslut, så måste jag ju yrka bifall till utskottets hemställan, men jag säger uttryckligen, att jag gör det utan någon entusiasm.</w:t>
      </w:r>
    </w:p>
    <w:p>
      <w:pPr>
        <w:pStyle w:val="Heading2"/>
      </w:pPr>
      <w:r>
        <w:t>8. Carl Loven (Socialdemokraterna, man)</w:t>
      </w:r>
    </w:p>
    <w:p>
      <w:r>
        <w:rPr>
          <w:b w:val="0"/>
        </w:rPr>
        <w:t>Herr talman! Utskottets ärade ordförande sade, att professor</w:t>
        <w:br/>
        <w:br/>
        <w:t xml:space="preserve">Weibull gjort vårt land stora tjänster. Ja, det är mycket riktigt, och det har jag heller icke bestritt. Det har han ju emellertid fått lön och pension för. Men varför skall staten därför ha skyldighet att ge </w:t>
      </w:r>
      <w:r>
        <w:rPr>
          <w:b/>
        </w:rPr>
        <w:t>änkan²</w:t>
      </w:r>
      <w:r>
        <w:rPr>
          <w:b w:val="0"/>
        </w:rPr>
        <w:t xml:space="preserve"> pension, då inte något direkt nödläge föreligger? Det kan jag inte förstå. Herr Jönsson i Fridhill sade, att det förelåg mycket goda skäl för att bifalla denna motion. Ett sådant påstående måste väl ändå verka bra underligt här i kammaren. Ty de flesta ha väl den uppfattningen, att mycket goda skäl tala för att avslå motionen. Herr Jönsson i Fridhill framhöll vidare, att större delen av </w:t>
      </w:r>
      <w:r>
        <w:rPr>
          <w:b/>
        </w:rPr>
        <w:t>änkefru²</w:t>
      </w:r>
      <w:r>
        <w:rPr>
          <w:b w:val="0"/>
        </w:rPr>
        <w:t xml:space="preserve"> Weibulls förmögenhet skulle vara placerad i en fastighet i Stocksund. Ja, jag har redan erinrat om det fall, då förmögenheten endast bestod i en förfallen stuga och en svulten ko, men där det ändå blev avslag på pensionen. Så vad förmögenheten beträffar tycker jag, att det kan vara hugget som stucket i de båda fallen. Vidare sade herr Jönsson i Fridhill, att </w:t>
      </w:r>
      <w:r>
        <w:rPr>
          <w:b/>
        </w:rPr>
        <w:t>hennes²</w:t>
      </w:r>
      <w:r>
        <w:rPr>
          <w:b w:val="0"/>
        </w:rPr>
        <w:t xml:space="preserve"> förmögenhet i övrigt bestod av aktier, som lämnade ytterst ringa inkomst. Ja, det är väl riktigt, men dessa aktier kunna kanske, om de äro av den sorten jag tror, bli mera värda framdeles. Sedan påstod herr Jönsson i Fridhill, att den gång, då det var möjligt för professor Weibull att komma in i </w:t>
      </w:r>
      <w:r>
        <w:rPr>
          <w:b/>
        </w:rPr>
        <w:t>änkeoch²</w:t>
      </w:r>
      <w:r>
        <w:rPr>
          <w:b w:val="0"/>
        </w:rPr>
        <w:t xml:space="preserve"> pupillkassan, var hans ekonomiska ställning inte sådan, att han kunde komma ut med de jämförelsevis höga retroaktivavgifterna. Ja, det är inte riktigt trevligt att diskutera människors privata förmögenhetsförhållanden, men eftersom herr Jönsson i Fridhill nu dragit fram detta, så vill jag säga, att detta påstående nog icke är riktigt. Ty efter vad jag låtit mig berättas, var professor Weibulls förmögenhetsställning på den tiden visst icke sådan, att han icke skulle kunnat lösa in sig i kassan. Professor Weibulls förmögenhet gick vid ett betydligt senare datum, då så många andra förmögenheter gingo förlorade, och varöver professor Weibull naturligtvis icke kunde råda. . Jag vidhåller, att det icke alls finns några goda skäl som tala för denna pension. Bankoutskottets ärade ordförande framhöll, att det var med största tvekan han gått med på denna pension. Hos mig har tvekan varit så stor, att jag icke kunnat vara med på förslaget, om inte av annan anledning så för att protestera mot det sätt, på vilket man utmäter håvorna eller livets nödtorft, därvid den ena, som ingenting har, icke får något men den andra får litet, som har litet redan förut.</w:t>
        <w:br/>
        <w:br/>
        <w:t>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